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tabs>
          <w:tab w:val="left" w:pos="896"/>
        </w:tabs>
        <w:spacing w:line="600" w:lineRule="exact"/>
        <w:ind w:right="140"/>
        <w:jc w:val="left"/>
        <w:rPr>
          <w:rFonts w:hint="eastAsia" w:ascii="Times New Roman" w:hAnsi="Times New Roman" w:eastAsia="黑体" w:cs="Times New Roman"/>
          <w:kern w:val="0"/>
          <w:sz w:val="28"/>
          <w:szCs w:val="24"/>
          <w:u w:val="single"/>
        </w:rPr>
      </w:pPr>
      <w:bookmarkStart w:id="0" w:name="_Hlk521318674"/>
      <w:bookmarkStart w:id="1" w:name="_Toc516771258"/>
      <w:bookmarkStart w:id="2" w:name="_Toc515745863"/>
    </w:p>
    <w:p>
      <w:pPr>
        <w:widowControl/>
        <w:tabs>
          <w:tab w:val="left" w:pos="896"/>
        </w:tabs>
        <w:spacing w:line="600" w:lineRule="exact"/>
        <w:ind w:right="140"/>
        <w:jc w:val="left"/>
        <w:rPr>
          <w:rFonts w:ascii="Times New Roman" w:hAnsi="Times New Roman" w:eastAsia="黑体" w:cs="Times New Roman"/>
          <w:kern w:val="0"/>
          <w:sz w:val="28"/>
          <w:szCs w:val="24"/>
          <w:u w:val="single"/>
        </w:rPr>
      </w:pPr>
    </w:p>
    <w:p>
      <w:pPr>
        <w:widowControl/>
        <w:spacing w:line="600" w:lineRule="exact"/>
        <w:jc w:val="left"/>
        <w:rPr>
          <w:rFonts w:ascii="Times New Roman" w:hAnsi="Times New Roman" w:eastAsia="宋体" w:cs="Times New Roman"/>
          <w:kern w:val="0"/>
          <w:sz w:val="24"/>
          <w:szCs w:val="24"/>
        </w:rPr>
      </w:pPr>
    </w:p>
    <w:p>
      <w:pPr>
        <w:widowControl/>
        <w:spacing w:line="600" w:lineRule="exact"/>
        <w:jc w:val="left"/>
        <w:rPr>
          <w:rFonts w:ascii="Times New Roman" w:hAnsi="Times New Roman" w:eastAsia="黑体" w:cs="Times New Roman"/>
          <w:sz w:val="28"/>
          <w:szCs w:val="20"/>
        </w:rPr>
      </w:pPr>
      <w:r>
        <w:rPr>
          <w:rFonts w:ascii="Times New Roman" w:hAnsi="Times New Roman" w:cs="Times New Roman"/>
          <w:bCs/>
          <w:sz w:val="32"/>
          <w:szCs w:val="32"/>
        </w:rPr>
        <mc:AlternateContent>
          <mc:Choice Requires="wps">
            <w:drawing>
              <wp:anchor distT="0" distB="0" distL="114300" distR="114300" simplePos="0" relativeHeight="251660288" behindDoc="0" locked="0" layoutInCell="1" allowOverlap="1">
                <wp:simplePos x="0" y="0"/>
                <wp:positionH relativeFrom="column">
                  <wp:posOffset>19050</wp:posOffset>
                </wp:positionH>
                <wp:positionV relativeFrom="paragraph">
                  <wp:posOffset>319405</wp:posOffset>
                </wp:positionV>
                <wp:extent cx="5257800" cy="0"/>
                <wp:effectExtent l="0" t="0" r="0" b="0"/>
                <wp:wrapNone/>
                <wp:docPr id="899" name="直接连接符 899"/>
                <wp:cNvGraphicFramePr/>
                <a:graphic xmlns:a="http://schemas.openxmlformats.org/drawingml/2006/main">
                  <a:graphicData uri="http://schemas.microsoft.com/office/word/2010/wordprocessingShape">
                    <wps:wsp>
                      <wps:cNvCnPr>
                        <a:cxnSpLocks noChangeShapeType="1"/>
                      </wps:cNvCnPr>
                      <wps:spPr bwMode="auto">
                        <a:xfrm>
                          <a:off x="0" y="0"/>
                          <a:ext cx="525780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1.5pt;margin-top:25.15pt;height:0pt;width:414pt;z-index:251660288;mso-width-relative:page;mso-height-relative:page;" filled="f" stroked="t" coordsize="21600,21600" o:gfxdata="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Kf9NZDUAAAABwEAAA8AAAAAAAAAAQAgAAAAIgAAAGRycy9kb3du&#10;cmV2LnhtbFBLAQIUABQAAAAIAIdO4kBQF70UygEAAGADAAAOAAAAAAAAAAEAIAAAACMBAABkcnMv&#10;ZTJvRG9jLnhtbFBLBQYAAAAABgAGAFkBAABfBQAAAAA=&#10;">
                <v:fill on="f" focussize="0,0"/>
                <v:stroke color="#000000" joinstyle="round"/>
                <v:imagedata o:title=""/>
                <o:lock v:ext="edit" aspectratio="f"/>
              </v:line>
            </w:pict>
          </mc:Fallback>
        </mc:AlternateContent>
      </w:r>
      <w:r>
        <w:rPr>
          <w:rFonts w:ascii="Times New Roman" w:hAnsi="Times New Roman" w:cs="Times New Roman"/>
        </w:rPr>
        <mc:AlternateContent>
          <mc:Choice Requires="wps">
            <w:drawing>
              <wp:anchor distT="0" distB="0" distL="114300" distR="114300" simplePos="0" relativeHeight="251659264" behindDoc="0" locked="0" layoutInCell="0" allowOverlap="1">
                <wp:simplePos x="0" y="0"/>
                <wp:positionH relativeFrom="column">
                  <wp:posOffset>19685</wp:posOffset>
                </wp:positionH>
                <wp:positionV relativeFrom="paragraph">
                  <wp:posOffset>235585</wp:posOffset>
                </wp:positionV>
                <wp:extent cx="5257800" cy="0"/>
                <wp:effectExtent l="0" t="19050" r="0" b="0"/>
                <wp:wrapNone/>
                <wp:docPr id="12" name="直接连接符 12"/>
                <wp:cNvGraphicFramePr/>
                <a:graphic xmlns:a="http://schemas.openxmlformats.org/drawingml/2006/main">
                  <a:graphicData uri="http://schemas.microsoft.com/office/word/2010/wordprocessingShape">
                    <wps:wsp>
                      <wps:cNvCnPr>
                        <a:cxnSpLocks noChangeShapeType="1"/>
                      </wps:cNvCnPr>
                      <wps:spPr bwMode="auto">
                        <a:xfrm>
                          <a:off x="0" y="0"/>
                          <a:ext cx="5257800" cy="0"/>
                        </a:xfrm>
                        <a:prstGeom prst="line">
                          <a:avLst/>
                        </a:prstGeom>
                        <a:noFill/>
                        <a:ln w="38100">
                          <a:solidFill>
                            <a:srgbClr val="000000"/>
                          </a:solidFill>
                          <a:round/>
                        </a:ln>
                      </wps:spPr>
                      <wps:bodyPr/>
                    </wps:wsp>
                  </a:graphicData>
                </a:graphic>
              </wp:anchor>
            </w:drawing>
          </mc:Choice>
          <mc:Fallback>
            <w:pict>
              <v:line id="_x0000_s1026" o:spid="_x0000_s1026" o:spt="20" style="position:absolute;left:0pt;margin-left:1.55pt;margin-top:18.55pt;height:0pt;width:414pt;z-index:251659264;mso-width-relative:page;mso-height-relative:page;" filled="f" stroked="t" coordsize="21600,21600" o:allowincell="f" o:gfxdata="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k2Z/ic8AAAAHAQAADwAAAAAAAAABACAAAAAiAAAAZHJzL2Rvd25yZXYueG1s&#10;UEsBAhQAFAAAAAgAh07iQJsUq93IAQAAXwMAAA4AAAAAAAAAAQAgAAAAHgEAAGRycy9lMm9Eb2Mu&#10;eG1sUEsFBgAAAAAGAAYAWQEAAFgFAAAAAA==&#10;">
                <v:fill on="f" focussize="0,0"/>
                <v:stroke weight="3pt" color="#000000" joinstyle="round"/>
                <v:imagedata o:title=""/>
                <o:lock v:ext="edit" aspectratio="f"/>
              </v:line>
            </w:pict>
          </mc:Fallback>
        </mc:AlternateContent>
      </w:r>
    </w:p>
    <w:p>
      <w:pPr>
        <w:spacing w:line="600" w:lineRule="exact"/>
        <w:jc w:val="center"/>
        <w:rPr>
          <w:rFonts w:ascii="Times New Roman" w:hAnsi="Times New Roman" w:eastAsia="黑体" w:cs="Times New Roman"/>
          <w:bCs/>
          <w:sz w:val="36"/>
          <w:szCs w:val="32"/>
        </w:rPr>
      </w:pPr>
      <w:r>
        <w:rPr>
          <w:rFonts w:ascii="Times New Roman" w:hAnsi="Times New Roman" w:eastAsia="黑体" w:cs="Times New Roman"/>
          <w:bCs/>
          <w:sz w:val="36"/>
          <w:szCs w:val="32"/>
        </w:rPr>
        <w:t>屯溪区雪亮工程</w:t>
      </w:r>
      <w:bookmarkStart w:id="3" w:name="_Hlk525976126"/>
      <w:r>
        <w:rPr>
          <w:rFonts w:ascii="Times New Roman" w:hAnsi="Times New Roman" w:eastAsia="黑体" w:cs="Times New Roman"/>
          <w:bCs/>
          <w:sz w:val="36"/>
          <w:szCs w:val="32"/>
        </w:rPr>
        <w:t>网络及应用系统租赁</w:t>
      </w:r>
    </w:p>
    <w:p>
      <w:pPr>
        <w:spacing w:line="600" w:lineRule="exact"/>
        <w:jc w:val="center"/>
        <w:rPr>
          <w:rFonts w:ascii="Times New Roman" w:hAnsi="Times New Roman" w:eastAsia="黑体" w:cs="Times New Roman"/>
          <w:bCs/>
          <w:sz w:val="36"/>
          <w:szCs w:val="32"/>
        </w:rPr>
      </w:pPr>
      <w:r>
        <w:rPr>
          <w:rFonts w:ascii="Times New Roman" w:hAnsi="Times New Roman" w:eastAsia="黑体" w:cs="Times New Roman"/>
          <w:bCs/>
          <w:sz w:val="36"/>
          <w:szCs w:val="32"/>
        </w:rPr>
        <w:t>采购需求书</w:t>
      </w:r>
      <w:bookmarkEnd w:id="3"/>
    </w:p>
    <w:p>
      <w:pPr>
        <w:pStyle w:val="24"/>
        <w:spacing w:line="600" w:lineRule="exact"/>
        <w:ind w:firstLine="0" w:firstLineChars="0"/>
        <w:rPr>
          <w:rFonts w:ascii="Times New Roman" w:hAnsi="Times New Roman" w:cs="Times New Roman"/>
        </w:rPr>
      </w:pPr>
      <w:r>
        <w:rPr>
          <w:rFonts w:ascii="Times New Roman" w:hAnsi="Times New Roman" w:eastAsia="黑体" w:cs="Times New Roman"/>
          <w:bCs/>
          <w:sz w:val="32"/>
          <w:szCs w:val="32"/>
        </w:rPr>
        <mc:AlternateContent>
          <mc:Choice Requires="wps">
            <w:drawing>
              <wp:anchor distT="0" distB="0" distL="114300" distR="114300" simplePos="0" relativeHeight="251662336" behindDoc="0" locked="0" layoutInCell="1" allowOverlap="1">
                <wp:simplePos x="0" y="0"/>
                <wp:positionH relativeFrom="margin">
                  <wp:posOffset>22225</wp:posOffset>
                </wp:positionH>
                <wp:positionV relativeFrom="paragraph">
                  <wp:posOffset>169545</wp:posOffset>
                </wp:positionV>
                <wp:extent cx="5257800" cy="0"/>
                <wp:effectExtent l="0" t="0" r="0" b="0"/>
                <wp:wrapNone/>
                <wp:docPr id="906" name="直接连接符 906"/>
                <wp:cNvGraphicFramePr/>
                <a:graphic xmlns:a="http://schemas.openxmlformats.org/drawingml/2006/main">
                  <a:graphicData uri="http://schemas.microsoft.com/office/word/2010/wordprocessingShape">
                    <wps:wsp>
                      <wps:cNvCnPr>
                        <a:cxnSpLocks noChangeShapeType="1"/>
                      </wps:cNvCnPr>
                      <wps:spPr bwMode="auto">
                        <a:xfrm>
                          <a:off x="0" y="0"/>
                          <a:ext cx="525780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1.75pt;margin-top:13.35pt;height:0pt;width:414pt;mso-position-horizontal-relative:margin;z-index:251662336;mso-width-relative:page;mso-height-relative:page;" filled="f" stroked="t" coordsize="21600,21600" o:gfxdata="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dmRaD0wAAAAcBAAAPAAAAAAAAAAEAIAAAACIAAABkcnMvZG93bnJl&#10;di54bWxQSwECFAAUAAAACACHTuJAlB/8p8kBAABgAwAADgAAAAAAAAABACAAAAAiAQAAZHJzL2Uy&#10;b0RvYy54bWxQSwUGAAAAAAYABgBZAQAAXQUAAAAA&#10;">
                <v:fill on="f" focussize="0,0"/>
                <v:stroke color="#000000" joinstyle="round"/>
                <v:imagedata o:title=""/>
                <o:lock v:ext="edit" aspectratio="f"/>
              </v:line>
            </w:pict>
          </mc:Fallback>
        </mc:AlternateContent>
      </w:r>
      <w:r>
        <w:rPr>
          <w:rFonts w:ascii="Times New Roman" w:hAnsi="Times New Roman" w:cs="Times New Roman"/>
        </w:rPr>
        <mc:AlternateContent>
          <mc:Choice Requires="wps">
            <w:drawing>
              <wp:anchor distT="0" distB="0" distL="114300" distR="114300" simplePos="0" relativeHeight="251661312" behindDoc="0" locked="0" layoutInCell="0" allowOverlap="1">
                <wp:simplePos x="0" y="0"/>
                <wp:positionH relativeFrom="margin">
                  <wp:posOffset>33020</wp:posOffset>
                </wp:positionH>
                <wp:positionV relativeFrom="paragraph">
                  <wp:posOffset>254000</wp:posOffset>
                </wp:positionV>
                <wp:extent cx="5257800" cy="0"/>
                <wp:effectExtent l="0" t="19050" r="0" b="0"/>
                <wp:wrapNone/>
                <wp:docPr id="905" name="直接连接符 905"/>
                <wp:cNvGraphicFramePr/>
                <a:graphic xmlns:a="http://schemas.openxmlformats.org/drawingml/2006/main">
                  <a:graphicData uri="http://schemas.microsoft.com/office/word/2010/wordprocessingShape">
                    <wps:wsp>
                      <wps:cNvCnPr>
                        <a:cxnSpLocks noChangeShapeType="1"/>
                      </wps:cNvCnPr>
                      <wps:spPr bwMode="auto">
                        <a:xfrm>
                          <a:off x="0" y="0"/>
                          <a:ext cx="5257800" cy="0"/>
                        </a:xfrm>
                        <a:prstGeom prst="line">
                          <a:avLst/>
                        </a:prstGeom>
                        <a:noFill/>
                        <a:ln w="38100">
                          <a:solidFill>
                            <a:srgbClr val="000000"/>
                          </a:solidFill>
                          <a:round/>
                        </a:ln>
                      </wps:spPr>
                      <wps:bodyPr/>
                    </wps:wsp>
                  </a:graphicData>
                </a:graphic>
              </wp:anchor>
            </w:drawing>
          </mc:Choice>
          <mc:Fallback>
            <w:pict>
              <v:line id="_x0000_s1026" o:spid="_x0000_s1026" o:spt="20" style="position:absolute;left:0pt;margin-left:2.6pt;margin-top:20pt;height:0pt;width:414pt;mso-position-horizontal-relative:margin;z-index:251661312;mso-width-relative:page;mso-height-relative:page;" filled="f" stroked="t" coordsize="21600,21600" o:allowincell="f" o:gfxdata="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BPkNdDRAAAABwEAAA8AAAAAAAAAAQAgAAAAIgAAAGRycy9kb3ducmV2&#10;LnhtbFBLAQIUABQAAAAIAIdO4kBru/SrygEAAGEDAAAOAAAAAAAAAAEAIAAAACABAABkcnMvZTJv&#10;RG9jLnhtbFBLBQYAAAAABgAGAFkBAABcBQAAAAA=&#10;">
                <v:fill on="f" focussize="0,0"/>
                <v:stroke weight="3pt" color="#000000" joinstyle="round"/>
                <v:imagedata o:title=""/>
                <o:lock v:ext="edit" aspectratio="f"/>
              </v:line>
            </w:pict>
          </mc:Fallback>
        </mc:AlternateContent>
      </w:r>
    </w:p>
    <w:p>
      <w:pPr>
        <w:widowControl/>
        <w:spacing w:line="600" w:lineRule="exact"/>
        <w:jc w:val="left"/>
        <w:rPr>
          <w:rFonts w:ascii="Times New Roman" w:hAnsi="Times New Roman" w:eastAsia="宋体" w:cs="Times New Roman"/>
          <w:kern w:val="0"/>
          <w:sz w:val="24"/>
          <w:szCs w:val="24"/>
        </w:rPr>
      </w:pPr>
    </w:p>
    <w:p>
      <w:pPr>
        <w:widowControl/>
        <w:spacing w:line="600" w:lineRule="exact"/>
        <w:jc w:val="left"/>
        <w:rPr>
          <w:rFonts w:ascii="Times New Roman" w:hAnsi="Times New Roman" w:eastAsia="宋体" w:cs="Times New Roman"/>
          <w:kern w:val="0"/>
          <w:sz w:val="24"/>
          <w:szCs w:val="24"/>
        </w:rPr>
      </w:pPr>
    </w:p>
    <w:p>
      <w:pPr>
        <w:widowControl/>
        <w:spacing w:line="600" w:lineRule="exact"/>
        <w:jc w:val="left"/>
        <w:rPr>
          <w:rFonts w:ascii="Times New Roman" w:hAnsi="Times New Roman" w:eastAsia="宋体" w:cs="Times New Roman"/>
          <w:kern w:val="0"/>
          <w:sz w:val="24"/>
          <w:szCs w:val="24"/>
        </w:rPr>
      </w:pPr>
    </w:p>
    <w:p>
      <w:pPr>
        <w:widowControl/>
        <w:spacing w:line="600" w:lineRule="exact"/>
        <w:jc w:val="left"/>
        <w:rPr>
          <w:rFonts w:ascii="Times New Roman" w:hAnsi="Times New Roman" w:eastAsia="宋体" w:cs="Times New Roman"/>
          <w:kern w:val="0"/>
          <w:sz w:val="24"/>
          <w:szCs w:val="24"/>
        </w:rPr>
      </w:pPr>
    </w:p>
    <w:p>
      <w:pPr>
        <w:pStyle w:val="24"/>
        <w:spacing w:line="600" w:lineRule="exact"/>
        <w:ind w:firstLine="0" w:firstLineChars="0"/>
        <w:jc w:val="center"/>
        <w:rPr>
          <w:rFonts w:ascii="Times New Roman" w:hAnsi="Times New Roman" w:eastAsia="黑体" w:cs="Times New Roman"/>
          <w:sz w:val="28"/>
          <w:szCs w:val="20"/>
        </w:rPr>
      </w:pPr>
    </w:p>
    <w:p>
      <w:pPr>
        <w:pStyle w:val="24"/>
        <w:spacing w:line="600" w:lineRule="exact"/>
        <w:ind w:firstLine="0" w:firstLineChars="0"/>
        <w:jc w:val="center"/>
        <w:rPr>
          <w:rFonts w:ascii="Times New Roman" w:hAnsi="Times New Roman" w:eastAsia="黑体" w:cs="Times New Roman"/>
          <w:sz w:val="28"/>
          <w:szCs w:val="20"/>
        </w:rPr>
      </w:pPr>
    </w:p>
    <w:p>
      <w:pPr>
        <w:pStyle w:val="24"/>
        <w:spacing w:line="600" w:lineRule="exact"/>
        <w:ind w:firstLine="0" w:firstLineChars="0"/>
        <w:jc w:val="center"/>
        <w:rPr>
          <w:rFonts w:ascii="Times New Roman" w:hAnsi="Times New Roman" w:eastAsia="黑体" w:cs="Times New Roman"/>
          <w:sz w:val="28"/>
          <w:szCs w:val="20"/>
        </w:rPr>
      </w:pPr>
    </w:p>
    <w:p>
      <w:pPr>
        <w:pStyle w:val="24"/>
        <w:spacing w:line="600" w:lineRule="exact"/>
        <w:ind w:firstLine="0" w:firstLineChars="0"/>
        <w:jc w:val="center"/>
        <w:rPr>
          <w:rFonts w:ascii="Times New Roman" w:hAnsi="Times New Roman" w:eastAsia="黑体" w:cs="Times New Roman"/>
          <w:sz w:val="28"/>
          <w:szCs w:val="20"/>
        </w:rPr>
      </w:pPr>
    </w:p>
    <w:p>
      <w:pPr>
        <w:pStyle w:val="24"/>
        <w:spacing w:line="600" w:lineRule="exact"/>
        <w:ind w:firstLine="0" w:firstLineChars="0"/>
        <w:jc w:val="center"/>
        <w:rPr>
          <w:rFonts w:ascii="Times New Roman" w:hAnsi="Times New Roman" w:eastAsia="黑体" w:cs="Times New Roman"/>
          <w:sz w:val="28"/>
          <w:szCs w:val="20"/>
        </w:rPr>
      </w:pPr>
    </w:p>
    <w:p>
      <w:pPr>
        <w:pStyle w:val="24"/>
        <w:spacing w:line="600" w:lineRule="exact"/>
        <w:ind w:firstLine="0" w:firstLineChars="0"/>
        <w:jc w:val="center"/>
        <w:rPr>
          <w:rFonts w:ascii="Times New Roman" w:hAnsi="Times New Roman" w:eastAsia="黑体" w:cs="Times New Roman"/>
          <w:sz w:val="28"/>
          <w:szCs w:val="20"/>
        </w:rPr>
      </w:pPr>
    </w:p>
    <w:p>
      <w:pPr>
        <w:pStyle w:val="24"/>
        <w:spacing w:line="600" w:lineRule="exact"/>
        <w:ind w:firstLine="0" w:firstLineChars="0"/>
        <w:jc w:val="center"/>
        <w:rPr>
          <w:rFonts w:ascii="Times New Roman" w:hAnsi="Times New Roman" w:eastAsia="黑体" w:cs="Times New Roman"/>
          <w:sz w:val="28"/>
          <w:szCs w:val="20"/>
        </w:rPr>
      </w:pPr>
    </w:p>
    <w:p>
      <w:pPr>
        <w:pStyle w:val="24"/>
        <w:spacing w:line="600" w:lineRule="exact"/>
        <w:ind w:firstLine="0" w:firstLineChars="0"/>
        <w:jc w:val="center"/>
        <w:rPr>
          <w:rFonts w:ascii="Times New Roman" w:hAnsi="Times New Roman" w:eastAsia="黑体" w:cs="Times New Roman"/>
          <w:sz w:val="28"/>
          <w:szCs w:val="20"/>
        </w:rPr>
      </w:pPr>
    </w:p>
    <w:p>
      <w:pPr>
        <w:pStyle w:val="24"/>
        <w:spacing w:line="600" w:lineRule="exact"/>
        <w:ind w:firstLine="0" w:firstLineChars="0"/>
        <w:jc w:val="center"/>
        <w:rPr>
          <w:rFonts w:ascii="Times New Roman" w:hAnsi="Times New Roman" w:eastAsia="黑体" w:cs="Times New Roman"/>
          <w:sz w:val="28"/>
          <w:szCs w:val="20"/>
        </w:rPr>
      </w:pPr>
    </w:p>
    <w:p>
      <w:pPr>
        <w:pStyle w:val="24"/>
        <w:spacing w:line="600" w:lineRule="exact"/>
        <w:ind w:firstLine="0" w:firstLineChars="0"/>
        <w:jc w:val="center"/>
        <w:rPr>
          <w:rFonts w:ascii="Times New Roman" w:hAnsi="Times New Roman" w:eastAsia="黑体" w:cs="Times New Roman"/>
          <w:sz w:val="28"/>
          <w:szCs w:val="20"/>
        </w:rPr>
      </w:pPr>
      <w:r>
        <w:rPr>
          <w:rFonts w:ascii="Times New Roman" w:hAnsi="Times New Roman" w:eastAsia="黑体" w:cs="Times New Roman"/>
          <w:sz w:val="28"/>
          <w:szCs w:val="20"/>
        </w:rPr>
        <w:t xml:space="preserve">二 O 一 九 年 一 月 </w:t>
      </w:r>
    </w:p>
    <w:p>
      <w:pPr>
        <w:pStyle w:val="87"/>
        <w:rPr>
          <w:rFonts w:ascii="Times New Roman" w:hAnsi="Times New Roman" w:cs="Times New Roman"/>
        </w:rPr>
        <w:sectPr>
          <w:pgSz w:w="11906" w:h="16838"/>
          <w:pgMar w:top="1440" w:right="1800" w:bottom="1440" w:left="1800" w:header="851" w:footer="992" w:gutter="0"/>
          <w:pgNumType w:fmt="upperRoman" w:start="1"/>
          <w:cols w:space="425" w:num="1"/>
          <w:docGrid w:type="lines" w:linePitch="312" w:charSpace="0"/>
        </w:sectPr>
      </w:pPr>
    </w:p>
    <w:bookmarkEnd w:id="0"/>
    <w:p>
      <w:pPr>
        <w:pStyle w:val="24"/>
        <w:spacing w:line="360" w:lineRule="auto"/>
        <w:ind w:firstLine="0" w:firstLineChars="0"/>
        <w:jc w:val="center"/>
        <w:rPr>
          <w:rFonts w:ascii="Times New Roman" w:hAnsi="Times New Roman" w:eastAsia="黑体" w:cs="Times New Roman"/>
          <w:sz w:val="28"/>
          <w:szCs w:val="20"/>
        </w:rPr>
      </w:pPr>
    </w:p>
    <w:bookmarkEnd w:id="1"/>
    <w:bookmarkEnd w:id="2"/>
    <w:p>
      <w:pPr>
        <w:widowControl/>
        <w:autoSpaceDE w:val="0"/>
        <w:spacing w:before="120" w:beforeLines="50" w:after="120" w:afterLines="50" w:line="360" w:lineRule="auto"/>
        <w:jc w:val="left"/>
        <w:outlineLvl w:val="0"/>
        <w:rPr>
          <w:rFonts w:ascii="Times New Roman" w:hAnsi="Times New Roman" w:eastAsia="黑体" w:cs="Times New Roman"/>
          <w:kern w:val="0"/>
          <w:sz w:val="32"/>
          <w:szCs w:val="30"/>
        </w:rPr>
      </w:pPr>
      <w:bookmarkStart w:id="4" w:name="_Toc536694734"/>
      <w:bookmarkStart w:id="5" w:name="_Toc535150751"/>
      <w:bookmarkStart w:id="6" w:name="_Toc536694676"/>
      <w:r>
        <w:rPr>
          <w:rFonts w:ascii="Times New Roman" w:hAnsi="Times New Roman" w:eastAsia="黑体" w:cs="Times New Roman"/>
          <w:kern w:val="0"/>
          <w:sz w:val="32"/>
          <w:szCs w:val="30"/>
        </w:rPr>
        <w:t>1、工程概况</w:t>
      </w:r>
      <w:bookmarkEnd w:id="4"/>
      <w:bookmarkEnd w:id="5"/>
      <w:bookmarkEnd w:id="6"/>
    </w:p>
    <w:p>
      <w:pPr>
        <w:pStyle w:val="3"/>
        <w:spacing w:before="120" w:beforeLines="50" w:after="120" w:afterLines="50" w:line="360" w:lineRule="auto"/>
        <w:rPr>
          <w:rFonts w:ascii="Times New Roman" w:hAnsi="Times New Roman" w:eastAsia="黑体" w:cs="Times New Roman"/>
          <w:b w:val="0"/>
          <w:sz w:val="30"/>
          <w:szCs w:val="30"/>
        </w:rPr>
      </w:pPr>
      <w:bookmarkStart w:id="7" w:name="_Toc516644096"/>
      <w:bookmarkStart w:id="8" w:name="_Toc536694735"/>
      <w:bookmarkStart w:id="9" w:name="_Toc536694677"/>
      <w:bookmarkStart w:id="10" w:name="_Toc535150752"/>
      <w:bookmarkStart w:id="11" w:name="_Toc516644100"/>
      <w:r>
        <w:rPr>
          <w:rFonts w:ascii="Times New Roman" w:hAnsi="Times New Roman" w:eastAsia="黑体" w:cs="Times New Roman"/>
          <w:b w:val="0"/>
          <w:sz w:val="30"/>
          <w:szCs w:val="30"/>
        </w:rPr>
        <w:t>1.1、</w:t>
      </w:r>
      <w:bookmarkEnd w:id="7"/>
      <w:r>
        <w:rPr>
          <w:rFonts w:ascii="Times New Roman" w:hAnsi="Times New Roman" w:eastAsia="黑体" w:cs="Times New Roman"/>
          <w:b w:val="0"/>
          <w:sz w:val="30"/>
          <w:szCs w:val="30"/>
        </w:rPr>
        <w:t>项目概况</w:t>
      </w:r>
      <w:bookmarkEnd w:id="8"/>
      <w:bookmarkEnd w:id="9"/>
      <w:bookmarkEnd w:id="10"/>
    </w:p>
    <w:p>
      <w:pPr>
        <w:pStyle w:val="24"/>
        <w:spacing w:line="360" w:lineRule="auto"/>
        <w:ind w:firstLine="480"/>
        <w:rPr>
          <w:rFonts w:ascii="Times New Roman" w:hAnsi="Times New Roman" w:eastAsia="宋体" w:cs="Times New Roman"/>
          <w:sz w:val="24"/>
        </w:rPr>
      </w:pPr>
      <w:r>
        <w:rPr>
          <w:rFonts w:ascii="Times New Roman" w:hAnsi="Times New Roman" w:eastAsia="宋体" w:cs="Times New Roman"/>
          <w:sz w:val="24"/>
        </w:rPr>
        <w:t>项目名称：屯溪区雪亮工程</w:t>
      </w:r>
      <w:bookmarkStart w:id="12" w:name="_Hlk589"/>
      <w:r>
        <w:rPr>
          <w:rFonts w:ascii="Times New Roman" w:hAnsi="Times New Roman" w:eastAsia="宋体" w:cs="Times New Roman"/>
          <w:sz w:val="24"/>
        </w:rPr>
        <w:t>网络及应用系统租赁</w:t>
      </w:r>
      <w:bookmarkEnd w:id="12"/>
      <w:r>
        <w:rPr>
          <w:rFonts w:ascii="Times New Roman" w:hAnsi="Times New Roman" w:eastAsia="宋体" w:cs="Times New Roman"/>
          <w:sz w:val="24"/>
        </w:rPr>
        <w:t>项目</w:t>
      </w:r>
    </w:p>
    <w:p>
      <w:pPr>
        <w:pStyle w:val="24"/>
        <w:spacing w:line="360" w:lineRule="auto"/>
        <w:ind w:firstLine="480"/>
        <w:rPr>
          <w:rFonts w:ascii="Times New Roman" w:hAnsi="Times New Roman" w:eastAsia="宋体" w:cs="Times New Roman"/>
          <w:sz w:val="24"/>
        </w:rPr>
      </w:pPr>
      <w:r>
        <w:rPr>
          <w:rFonts w:ascii="Times New Roman" w:hAnsi="Times New Roman" w:eastAsia="宋体" w:cs="Times New Roman"/>
          <w:sz w:val="24"/>
        </w:rPr>
        <w:t>项目建设地点：黄山市屯溪区</w:t>
      </w:r>
    </w:p>
    <w:p>
      <w:pPr>
        <w:pStyle w:val="24"/>
        <w:spacing w:line="360" w:lineRule="auto"/>
        <w:ind w:firstLine="480"/>
        <w:rPr>
          <w:rFonts w:ascii="Times New Roman" w:hAnsi="Times New Roman" w:eastAsia="宋体" w:cs="Times New Roman"/>
          <w:sz w:val="24"/>
        </w:rPr>
      </w:pPr>
      <w:r>
        <w:rPr>
          <w:rFonts w:ascii="Times New Roman" w:hAnsi="Times New Roman" w:eastAsia="宋体" w:cs="Times New Roman"/>
          <w:sz w:val="24"/>
        </w:rPr>
        <w:t>项目建设单位：</w:t>
      </w:r>
      <w:r>
        <w:rPr>
          <w:rFonts w:hint="eastAsia" w:ascii="Times New Roman" w:hAnsi="Times New Roman" w:eastAsia="宋体" w:cs="Times New Roman"/>
          <w:sz w:val="24"/>
        </w:rPr>
        <w:t>中共黄山市屯溪区委政法委员会</w:t>
      </w:r>
    </w:p>
    <w:p>
      <w:pPr>
        <w:pStyle w:val="24"/>
        <w:spacing w:line="360" w:lineRule="auto"/>
        <w:ind w:firstLine="480"/>
        <w:rPr>
          <w:rFonts w:ascii="Times New Roman" w:hAnsi="Times New Roman" w:eastAsia="宋体" w:cs="Times New Roman"/>
          <w:sz w:val="24"/>
        </w:rPr>
      </w:pPr>
      <w:r>
        <w:rPr>
          <w:rFonts w:ascii="Times New Roman" w:hAnsi="Times New Roman" w:eastAsia="宋体" w:cs="Times New Roman"/>
          <w:sz w:val="24"/>
        </w:rPr>
        <w:t xml:space="preserve">项目代建单位：黄山市屯溪城市建设投资有限责任公司 </w:t>
      </w:r>
    </w:p>
    <w:p>
      <w:pPr>
        <w:pStyle w:val="3"/>
        <w:spacing w:before="120" w:beforeLines="50" w:after="120" w:afterLines="50" w:line="360" w:lineRule="auto"/>
        <w:rPr>
          <w:rFonts w:ascii="Times New Roman" w:hAnsi="Times New Roman" w:eastAsia="黑体" w:cs="Times New Roman"/>
          <w:b w:val="0"/>
          <w:sz w:val="30"/>
          <w:szCs w:val="30"/>
        </w:rPr>
      </w:pPr>
      <w:bookmarkStart w:id="13" w:name="_Toc535150753"/>
      <w:bookmarkStart w:id="14" w:name="_Toc536694678"/>
      <w:bookmarkStart w:id="15" w:name="_Toc536694736"/>
      <w:r>
        <w:rPr>
          <w:rFonts w:ascii="Times New Roman" w:hAnsi="Times New Roman" w:eastAsia="黑体" w:cs="Times New Roman"/>
          <w:b w:val="0"/>
          <w:sz w:val="30"/>
          <w:szCs w:val="30"/>
        </w:rPr>
        <w:t>1.2、</w:t>
      </w:r>
      <w:bookmarkEnd w:id="11"/>
      <w:r>
        <w:rPr>
          <w:rFonts w:ascii="Times New Roman" w:hAnsi="Times New Roman" w:eastAsia="黑体" w:cs="Times New Roman"/>
          <w:b w:val="0"/>
          <w:sz w:val="30"/>
          <w:szCs w:val="30"/>
        </w:rPr>
        <w:t>工程内容</w:t>
      </w:r>
      <w:bookmarkEnd w:id="13"/>
      <w:bookmarkEnd w:id="14"/>
      <w:bookmarkEnd w:id="15"/>
    </w:p>
    <w:p>
      <w:pPr>
        <w:pStyle w:val="24"/>
        <w:spacing w:line="360" w:lineRule="auto"/>
        <w:ind w:firstLine="480"/>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1）传输网络：完善视频传输网络建设，完成本次新建的前端点位接入到视频传输网，完善基层队所视频传输网络建设，规划建设视频传输网络与政务外网之间的横向联通和纵向级联传输通道，实现全区视频图像信息资料跨区域、跨部门共享共用。</w:t>
      </w:r>
    </w:p>
    <w:p>
      <w:pPr>
        <w:pStyle w:val="24"/>
        <w:spacing w:line="360" w:lineRule="auto"/>
        <w:ind w:firstLine="480"/>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（2）</w:t>
      </w:r>
      <w:bookmarkStart w:id="16" w:name="_Hlk536641351"/>
      <w:r>
        <w:rPr>
          <w:rFonts w:ascii="Times New Roman" w:hAnsi="Times New Roman" w:eastAsia="宋体" w:cs="Times New Roman"/>
          <w:color w:val="000000" w:themeColor="text1"/>
          <w:sz w:val="24"/>
          <w:szCs w:val="24"/>
          <w14:textFill>
            <w14:solidFill>
              <w14:schemeClr w14:val="tx1"/>
            </w14:solidFill>
          </w14:textFill>
        </w:rPr>
        <w:t>社会治理物联网交互应用系统</w:t>
      </w:r>
      <w:bookmarkEnd w:id="16"/>
      <w:r>
        <w:rPr>
          <w:rFonts w:ascii="Times New Roman" w:hAnsi="Times New Roman" w:eastAsia="宋体" w:cs="Times New Roman"/>
          <w:color w:val="000000" w:themeColor="text1"/>
          <w:sz w:val="24"/>
          <w:szCs w:val="24"/>
          <w14:textFill>
            <w14:solidFill>
              <w14:schemeClr w14:val="tx1"/>
            </w14:solidFill>
          </w14:textFill>
        </w:rPr>
        <w:t>：建设社会治理物联网交互应用系统，依托该系统，完善政府自建及社会单位视频资源建设整合，实现二类前端视频采集点和确有必要联网接入的三类前端视频采集点基础信息建档；搭建政府部门、社会单位、群众间的无障碍互动网络，健全完善扁平化、可视化、智能化指挥防控体系，形成共建、共治、共享的社会治理新格局。</w:t>
      </w:r>
    </w:p>
    <w:p>
      <w:pPr>
        <w:pStyle w:val="3"/>
        <w:spacing w:before="120" w:beforeLines="50" w:after="120" w:afterLines="50" w:line="360" w:lineRule="auto"/>
        <w:rPr>
          <w:rFonts w:ascii="Times New Roman" w:hAnsi="Times New Roman" w:eastAsia="黑体" w:cs="Times New Roman"/>
          <w:b w:val="0"/>
          <w:sz w:val="30"/>
          <w:szCs w:val="30"/>
        </w:rPr>
      </w:pPr>
      <w:bookmarkStart w:id="17" w:name="_Toc536694737"/>
      <w:bookmarkStart w:id="18" w:name="_Toc535150754"/>
      <w:bookmarkStart w:id="19" w:name="_Toc536694679"/>
      <w:r>
        <w:rPr>
          <w:rFonts w:ascii="Times New Roman" w:hAnsi="Times New Roman" w:eastAsia="黑体" w:cs="Times New Roman"/>
          <w:b w:val="0"/>
          <w:sz w:val="30"/>
          <w:szCs w:val="30"/>
        </w:rPr>
        <w:t>1.3、</w:t>
      </w:r>
      <w:bookmarkStart w:id="20" w:name="_Toc513152831"/>
      <w:bookmarkStart w:id="21" w:name="_Toc516771263"/>
      <w:bookmarkStart w:id="22" w:name="_Toc515745868"/>
      <w:r>
        <w:rPr>
          <w:rFonts w:ascii="Times New Roman" w:hAnsi="Times New Roman" w:eastAsia="黑体" w:cs="Times New Roman"/>
          <w:b w:val="0"/>
          <w:sz w:val="30"/>
          <w:szCs w:val="30"/>
        </w:rPr>
        <w:t>招标范围</w:t>
      </w:r>
      <w:bookmarkEnd w:id="17"/>
      <w:bookmarkEnd w:id="18"/>
      <w:bookmarkEnd w:id="19"/>
    </w:p>
    <w:p>
      <w:pPr>
        <w:pStyle w:val="24"/>
        <w:spacing w:line="360" w:lineRule="auto"/>
        <w:ind w:firstLine="480"/>
        <w:rPr>
          <w:rFonts w:ascii="Times New Roman" w:hAnsi="Times New Roman" w:eastAsia="宋体" w:cs="Times New Roman"/>
          <w:sz w:val="24"/>
          <w:szCs w:val="24"/>
        </w:rPr>
      </w:pPr>
      <w:r>
        <w:rPr>
          <w:rFonts w:ascii="Times New Roman" w:hAnsi="Times New Roman" w:eastAsia="宋体" w:cs="Times New Roman"/>
          <w:sz w:val="24"/>
          <w:szCs w:val="24"/>
        </w:rPr>
        <w:t>本次招标范围涉及</w:t>
      </w:r>
      <w:r>
        <w:rPr>
          <w:rFonts w:ascii="Times New Roman" w:hAnsi="Times New Roman" w:eastAsia="宋体" w:cs="Times New Roman"/>
          <w:color w:val="000000" w:themeColor="text1"/>
          <w:sz w:val="24"/>
          <w:szCs w:val="24"/>
          <w14:textFill>
            <w14:solidFill>
              <w14:schemeClr w14:val="tx1"/>
            </w14:solidFill>
          </w14:textFill>
        </w:rPr>
        <w:t>社会治理物联网交互应用系统</w:t>
      </w:r>
      <w:r>
        <w:rPr>
          <w:rFonts w:ascii="Times New Roman" w:hAnsi="Times New Roman" w:eastAsia="宋体" w:cs="Times New Roman"/>
          <w:sz w:val="24"/>
          <w:szCs w:val="24"/>
        </w:rPr>
        <w:t>和网络链路租赁服务，本项目预算约668.72万</w:t>
      </w:r>
      <w:bookmarkStart w:id="61" w:name="_GoBack"/>
      <w:bookmarkEnd w:id="61"/>
      <w:r>
        <w:rPr>
          <w:rFonts w:ascii="Times New Roman" w:hAnsi="Times New Roman" w:eastAsia="宋体" w:cs="Times New Roman"/>
          <w:sz w:val="24"/>
          <w:szCs w:val="24"/>
        </w:rPr>
        <w:t>元。其中</w:t>
      </w:r>
      <w:r>
        <w:rPr>
          <w:rFonts w:ascii="Times New Roman" w:hAnsi="Times New Roman" w:eastAsia="宋体" w:cs="Times New Roman"/>
          <w:color w:val="000000" w:themeColor="text1"/>
          <w:sz w:val="24"/>
          <w:szCs w:val="24"/>
          <w14:textFill>
            <w14:solidFill>
              <w14:schemeClr w14:val="tx1"/>
            </w14:solidFill>
          </w14:textFill>
        </w:rPr>
        <w:t>社会治理物联网交互应用系统</w:t>
      </w:r>
      <w:r>
        <w:rPr>
          <w:rFonts w:ascii="Times New Roman" w:hAnsi="Times New Roman" w:eastAsia="宋体" w:cs="Times New Roman"/>
          <w:sz w:val="24"/>
          <w:szCs w:val="24"/>
        </w:rPr>
        <w:t>租赁费五年共计200万元，主用链路租赁费五年共计411.12万元，备灾链路租赁费五年共计57.6万元，最终规模及详细工作内容以实际建设需求为准。</w:t>
      </w:r>
    </w:p>
    <w:p>
      <w:pPr>
        <w:pStyle w:val="24"/>
        <w:spacing w:line="360" w:lineRule="auto"/>
        <w:ind w:firstLine="480"/>
        <w:rPr>
          <w:rFonts w:ascii="Times New Roman" w:hAnsi="Times New Roman" w:eastAsia="宋体" w:cs="Times New Roman"/>
          <w:sz w:val="24"/>
          <w:szCs w:val="24"/>
        </w:rPr>
      </w:pPr>
      <w:r>
        <w:rPr>
          <w:rFonts w:ascii="Times New Roman" w:hAnsi="Times New Roman" w:eastAsia="宋体" w:cs="Times New Roman"/>
          <w:sz w:val="24"/>
          <w:szCs w:val="24"/>
        </w:rPr>
        <w:t>本项目划分为2个模块，详细情况如下：</w:t>
      </w:r>
    </w:p>
    <w:tbl>
      <w:tblPr>
        <w:tblStyle w:val="16"/>
        <w:tblW w:w="8302" w:type="dxa"/>
        <w:tblInd w:w="0" w:type="dxa"/>
        <w:tblLayout w:type="fixed"/>
        <w:tblCellMar>
          <w:top w:w="0" w:type="dxa"/>
          <w:left w:w="108" w:type="dxa"/>
          <w:bottom w:w="0" w:type="dxa"/>
          <w:right w:w="108" w:type="dxa"/>
        </w:tblCellMar>
      </w:tblPr>
      <w:tblGrid>
        <w:gridCol w:w="1003"/>
        <w:gridCol w:w="1574"/>
        <w:gridCol w:w="4294"/>
        <w:gridCol w:w="1431"/>
      </w:tblGrid>
      <w:tr>
        <w:tblPrEx>
          <w:tblLayout w:type="fixed"/>
        </w:tblPrEx>
        <w:trPr>
          <w:trHeight w:val="511" w:hRule="atLeast"/>
          <w:tblHeader/>
        </w:trPr>
        <w:tc>
          <w:tcPr>
            <w:tcW w:w="1003"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b/>
                <w:color w:val="000000"/>
                <w:kern w:val="0"/>
                <w:szCs w:val="21"/>
              </w:rPr>
            </w:pPr>
          </w:p>
        </w:tc>
        <w:tc>
          <w:tcPr>
            <w:tcW w:w="1574"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b/>
                <w:color w:val="000000"/>
                <w:kern w:val="0"/>
                <w:szCs w:val="21"/>
              </w:rPr>
            </w:pPr>
            <w:r>
              <w:rPr>
                <w:rFonts w:ascii="Times New Roman" w:hAnsi="Times New Roman" w:eastAsia="宋体" w:cs="Times New Roman"/>
                <w:b/>
                <w:color w:val="000000"/>
                <w:kern w:val="0"/>
                <w:szCs w:val="21"/>
              </w:rPr>
              <w:t>预估金额</w:t>
            </w:r>
          </w:p>
        </w:tc>
        <w:tc>
          <w:tcPr>
            <w:tcW w:w="4294"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b/>
                <w:color w:val="000000"/>
                <w:kern w:val="0"/>
                <w:szCs w:val="21"/>
              </w:rPr>
            </w:pPr>
            <w:r>
              <w:rPr>
                <w:rFonts w:ascii="Times New Roman" w:hAnsi="Times New Roman" w:eastAsia="宋体" w:cs="Times New Roman"/>
                <w:b/>
                <w:color w:val="000000"/>
                <w:kern w:val="0"/>
                <w:szCs w:val="21"/>
              </w:rPr>
              <w:t>建设内容</w:t>
            </w:r>
          </w:p>
        </w:tc>
        <w:tc>
          <w:tcPr>
            <w:tcW w:w="1431"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b/>
                <w:color w:val="000000"/>
                <w:kern w:val="0"/>
                <w:szCs w:val="21"/>
              </w:rPr>
            </w:pPr>
            <w:r>
              <w:rPr>
                <w:rFonts w:ascii="Times New Roman" w:hAnsi="Times New Roman" w:eastAsia="宋体" w:cs="Times New Roman"/>
                <w:b/>
                <w:color w:val="000000"/>
                <w:kern w:val="0"/>
                <w:szCs w:val="21"/>
              </w:rPr>
              <w:t>中标人数量</w:t>
            </w:r>
          </w:p>
        </w:tc>
      </w:tr>
      <w:tr>
        <w:tblPrEx>
          <w:tblLayout w:type="fixed"/>
          <w:tblCellMar>
            <w:top w:w="0" w:type="dxa"/>
            <w:left w:w="108" w:type="dxa"/>
            <w:bottom w:w="0" w:type="dxa"/>
            <w:right w:w="108" w:type="dxa"/>
          </w:tblCellMar>
        </w:tblPrEx>
        <w:trPr>
          <w:trHeight w:val="593" w:hRule="atLeast"/>
        </w:trPr>
        <w:tc>
          <w:tcPr>
            <w:tcW w:w="1003"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模块1</w:t>
            </w:r>
          </w:p>
        </w:tc>
        <w:tc>
          <w:tcPr>
            <w:tcW w:w="1574"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611.12万元</w:t>
            </w:r>
          </w:p>
        </w:tc>
        <w:tc>
          <w:tcPr>
            <w:tcW w:w="4294" w:type="dxa"/>
            <w:tcBorders>
              <w:top w:val="nil"/>
              <w:left w:val="nil"/>
              <w:bottom w:val="single" w:color="auto" w:sz="4" w:space="0"/>
              <w:right w:val="single" w:color="auto" w:sz="4" w:space="0"/>
            </w:tcBorders>
            <w:shd w:val="clear" w:color="auto" w:fill="auto"/>
            <w:vAlign w:val="center"/>
          </w:tcPr>
          <w:p>
            <w:pPr>
              <w:widowControl/>
              <w:jc w:val="left"/>
              <w:rPr>
                <w:rFonts w:ascii="Times New Roman" w:hAnsi="Times New Roman" w:eastAsia="宋体" w:cs="Times New Roman"/>
                <w:color w:val="000000"/>
                <w:kern w:val="0"/>
                <w:szCs w:val="21"/>
              </w:rPr>
            </w:pPr>
            <w:r>
              <w:rPr>
                <w:rFonts w:ascii="Times New Roman" w:hAnsi="Times New Roman" w:eastAsia="宋体" w:cs="Times New Roman"/>
                <w:color w:val="000000" w:themeColor="text1"/>
                <w:szCs w:val="21"/>
                <w14:textFill>
                  <w14:solidFill>
                    <w14:schemeClr w14:val="tx1"/>
                  </w14:solidFill>
                </w14:textFill>
              </w:rPr>
              <w:t>社会治理物联网交互应用系统和</w:t>
            </w:r>
            <w:r>
              <w:rPr>
                <w:rFonts w:ascii="Times New Roman" w:hAnsi="Times New Roman" w:eastAsia="宋体" w:cs="Times New Roman"/>
                <w:color w:val="000000"/>
                <w:kern w:val="0"/>
                <w:szCs w:val="21"/>
              </w:rPr>
              <w:t>主用链路5年租赁</w:t>
            </w:r>
          </w:p>
        </w:tc>
        <w:tc>
          <w:tcPr>
            <w:tcW w:w="1431"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1名</w:t>
            </w:r>
          </w:p>
        </w:tc>
      </w:tr>
      <w:tr>
        <w:tblPrEx>
          <w:tblLayout w:type="fixed"/>
          <w:tblCellMar>
            <w:top w:w="0" w:type="dxa"/>
            <w:left w:w="108" w:type="dxa"/>
            <w:bottom w:w="0" w:type="dxa"/>
            <w:right w:w="108" w:type="dxa"/>
          </w:tblCellMar>
        </w:tblPrEx>
        <w:trPr>
          <w:trHeight w:val="688" w:hRule="atLeast"/>
        </w:trPr>
        <w:tc>
          <w:tcPr>
            <w:tcW w:w="1003"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模块2</w:t>
            </w:r>
          </w:p>
        </w:tc>
        <w:tc>
          <w:tcPr>
            <w:tcW w:w="1574"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57.6万元</w:t>
            </w:r>
          </w:p>
        </w:tc>
        <w:tc>
          <w:tcPr>
            <w:tcW w:w="4294" w:type="dxa"/>
            <w:tcBorders>
              <w:top w:val="nil"/>
              <w:left w:val="nil"/>
              <w:bottom w:val="single" w:color="auto" w:sz="4" w:space="0"/>
              <w:right w:val="single" w:color="auto" w:sz="4" w:space="0"/>
            </w:tcBorders>
            <w:shd w:val="clear" w:color="auto" w:fill="auto"/>
            <w:vAlign w:val="center"/>
          </w:tcPr>
          <w:p>
            <w:pPr>
              <w:widowControl/>
              <w:jc w:val="left"/>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备灾链路5年租赁</w:t>
            </w:r>
          </w:p>
        </w:tc>
        <w:tc>
          <w:tcPr>
            <w:tcW w:w="1431"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1名</w:t>
            </w:r>
          </w:p>
        </w:tc>
      </w:tr>
    </w:tbl>
    <w:p>
      <w:pPr>
        <w:pStyle w:val="24"/>
        <w:spacing w:before="120" w:beforeLines="50" w:line="360" w:lineRule="auto"/>
        <w:ind w:firstLine="482"/>
        <w:rPr>
          <w:rFonts w:ascii="Times New Roman" w:hAnsi="Times New Roman" w:eastAsia="宋体" w:cs="Times New Roman"/>
          <w:b/>
          <w:sz w:val="24"/>
          <w:szCs w:val="24"/>
        </w:rPr>
      </w:pPr>
      <w:r>
        <w:rPr>
          <w:rFonts w:ascii="Times New Roman" w:hAnsi="Times New Roman" w:eastAsia="宋体" w:cs="Times New Roman"/>
          <w:b/>
          <w:sz w:val="24"/>
          <w:szCs w:val="24"/>
        </w:rPr>
        <w:t>本项目允许投标人同时中标的最多模块数为1个</w:t>
      </w:r>
    </w:p>
    <w:p>
      <w:pPr>
        <w:spacing w:line="360" w:lineRule="auto"/>
        <w:ind w:firstLine="482" w:firstLineChars="200"/>
        <w:rPr>
          <w:rFonts w:ascii="Times New Roman" w:hAnsi="Times New Roman" w:eastAsia="宋体" w:cs="Times New Roman"/>
          <w:b/>
          <w:bCs/>
          <w:sz w:val="24"/>
          <w:szCs w:val="24"/>
        </w:rPr>
      </w:pPr>
      <w:r>
        <w:rPr>
          <w:rFonts w:ascii="Times New Roman" w:hAnsi="Times New Roman" w:eastAsia="宋体" w:cs="Times New Roman"/>
          <w:b/>
          <w:bCs/>
          <w:sz w:val="24"/>
          <w:szCs w:val="24"/>
        </w:rPr>
        <w:t>本项目设置最高投标限价，投标人投标报价高于最高投标限价的，其投标将被否决。</w:t>
      </w:r>
    </w:p>
    <w:p>
      <w:pPr>
        <w:spacing w:line="360" w:lineRule="auto"/>
        <w:ind w:firstLine="482" w:firstLineChars="200"/>
        <w:rPr>
          <w:rFonts w:ascii="Times New Roman" w:hAnsi="Times New Roman" w:eastAsia="宋体" w:cs="Times New Roman"/>
          <w:b/>
          <w:bCs/>
          <w:sz w:val="24"/>
          <w:szCs w:val="24"/>
        </w:rPr>
      </w:pPr>
    </w:p>
    <w:p>
      <w:pPr>
        <w:widowControl/>
        <w:autoSpaceDE w:val="0"/>
        <w:spacing w:before="120" w:beforeLines="50" w:after="120" w:afterLines="50" w:line="360" w:lineRule="auto"/>
        <w:jc w:val="left"/>
        <w:outlineLvl w:val="0"/>
        <w:rPr>
          <w:rFonts w:ascii="Times New Roman" w:hAnsi="Times New Roman" w:eastAsia="黑体" w:cs="Times New Roman"/>
          <w:kern w:val="0"/>
          <w:sz w:val="32"/>
          <w:szCs w:val="30"/>
        </w:rPr>
      </w:pPr>
      <w:bookmarkStart w:id="23" w:name="_Toc536694680"/>
      <w:bookmarkStart w:id="24" w:name="_Toc535150566"/>
      <w:bookmarkStart w:id="25" w:name="_Toc536694738"/>
      <w:bookmarkStart w:id="26" w:name="_Toc535150755"/>
      <w:r>
        <w:rPr>
          <w:rFonts w:ascii="Times New Roman" w:hAnsi="Times New Roman" w:eastAsia="黑体" w:cs="Times New Roman"/>
          <w:kern w:val="0"/>
          <w:sz w:val="32"/>
          <w:szCs w:val="30"/>
        </w:rPr>
        <w:t>2、建设需求</w:t>
      </w:r>
      <w:bookmarkEnd w:id="23"/>
      <w:bookmarkEnd w:id="24"/>
      <w:bookmarkEnd w:id="25"/>
      <w:bookmarkEnd w:id="26"/>
    </w:p>
    <w:p>
      <w:pPr>
        <w:pStyle w:val="3"/>
        <w:spacing w:before="120" w:beforeLines="50" w:after="120" w:afterLines="50" w:line="360" w:lineRule="auto"/>
        <w:rPr>
          <w:rFonts w:ascii="Times New Roman" w:hAnsi="Times New Roman" w:eastAsia="黑体" w:cs="Times New Roman"/>
          <w:b w:val="0"/>
          <w:sz w:val="30"/>
          <w:szCs w:val="30"/>
        </w:rPr>
      </w:pPr>
      <w:bookmarkStart w:id="27" w:name="_Toc536694681"/>
      <w:bookmarkStart w:id="28" w:name="_Toc536694739"/>
      <w:bookmarkStart w:id="29" w:name="_Toc535150756"/>
      <w:r>
        <w:rPr>
          <w:rFonts w:ascii="Times New Roman" w:hAnsi="Times New Roman" w:eastAsia="黑体" w:cs="Times New Roman"/>
          <w:b w:val="0"/>
          <w:sz w:val="30"/>
          <w:szCs w:val="30"/>
        </w:rPr>
        <w:t>2.1、网络链路需求</w:t>
      </w:r>
      <w:bookmarkEnd w:id="27"/>
      <w:bookmarkEnd w:id="28"/>
      <w:bookmarkEnd w:id="29"/>
    </w:p>
    <w:p>
      <w:pPr>
        <w:pStyle w:val="24"/>
        <w:spacing w:line="360" w:lineRule="auto"/>
        <w:ind w:firstLine="482"/>
        <w:rPr>
          <w:rFonts w:ascii="Times New Roman" w:hAnsi="Times New Roman" w:eastAsia="宋体" w:cs="Times New Roman"/>
          <w:b/>
          <w:sz w:val="24"/>
        </w:rPr>
      </w:pPr>
      <w:r>
        <w:rPr>
          <w:rFonts w:ascii="Times New Roman" w:hAnsi="Times New Roman" w:eastAsia="宋体" w:cs="Times New Roman"/>
          <w:b/>
          <w:sz w:val="24"/>
        </w:rPr>
        <w:t>（1）前端点位主用接入链路需求</w:t>
      </w:r>
    </w:p>
    <w:p>
      <w:pPr>
        <w:pStyle w:val="24"/>
        <w:spacing w:line="360" w:lineRule="auto"/>
        <w:ind w:firstLine="480"/>
        <w:rPr>
          <w:rFonts w:ascii="Times New Roman" w:hAnsi="Times New Roman" w:eastAsia="宋体" w:cs="Times New Roman"/>
          <w:sz w:val="24"/>
          <w:szCs w:val="24"/>
        </w:rPr>
      </w:pPr>
      <w:r>
        <w:rPr>
          <w:rFonts w:ascii="Times New Roman" w:hAnsi="Times New Roman" w:eastAsia="宋体" w:cs="Times New Roman"/>
          <w:sz w:val="24"/>
        </w:rPr>
        <w:t>提供屯溪区633个点位共计796路摄像机前端主用接入链路，</w:t>
      </w:r>
      <w:r>
        <w:rPr>
          <w:rFonts w:ascii="Times New Roman" w:hAnsi="Times New Roman" w:eastAsia="宋体" w:cs="Times New Roman"/>
          <w:sz w:val="24"/>
          <w:szCs w:val="24"/>
        </w:rPr>
        <w:t>网络设备、传输光纤等涉及网络传输部分，全部由运营商提供。前端接入采用乡镇接入交换机-光电转换器（局端）-光电转换器（终端）-前端交换机-摄像头方式，每个前端交换机上行通过千兆</w:t>
      </w:r>
      <w:r>
        <w:rPr>
          <w:rFonts w:ascii="Times New Roman" w:hAnsi="Times New Roman" w:eastAsia="宋体" w:cs="Times New Roman"/>
          <w:color w:val="000000" w:themeColor="text1"/>
          <w:sz w:val="24"/>
          <w:szCs w:val="24"/>
          <w14:textFill>
            <w14:solidFill>
              <w14:schemeClr w14:val="tx1"/>
            </w14:solidFill>
          </w14:textFill>
        </w:rPr>
        <w:t>接口与市-县-乡三级骨干网络的乡镇</w:t>
      </w:r>
      <w:r>
        <w:rPr>
          <w:rFonts w:ascii="Times New Roman" w:hAnsi="Times New Roman" w:eastAsia="宋体" w:cs="Times New Roman"/>
          <w:sz w:val="24"/>
          <w:szCs w:val="24"/>
        </w:rPr>
        <w:t>接入交换机互联，下行通过千兆接口与摄像头互联。运营商提供的前端网络设备必须为室外使用设备，工作温度区间在-10</w:t>
      </w:r>
      <w:r>
        <w:rPr>
          <w:rFonts w:hint="eastAsia" w:ascii="宋体" w:hAnsi="宋体" w:eastAsia="宋体" w:cs="宋体"/>
          <w:sz w:val="24"/>
          <w:szCs w:val="24"/>
        </w:rPr>
        <w:t>℃</w:t>
      </w:r>
      <w:r>
        <w:rPr>
          <w:rFonts w:ascii="Times New Roman" w:hAnsi="Times New Roman" w:eastAsia="宋体" w:cs="Times New Roman"/>
          <w:sz w:val="24"/>
          <w:szCs w:val="24"/>
        </w:rPr>
        <w:t>～＋55</w:t>
      </w:r>
      <w:r>
        <w:rPr>
          <w:rFonts w:hint="eastAsia" w:ascii="宋体" w:hAnsi="宋体" w:eastAsia="宋体" w:cs="宋体"/>
          <w:sz w:val="24"/>
          <w:szCs w:val="24"/>
        </w:rPr>
        <w:t>℃</w:t>
      </w:r>
      <w:r>
        <w:rPr>
          <w:rFonts w:ascii="Times New Roman" w:hAnsi="Times New Roman" w:eastAsia="宋体" w:cs="Times New Roman"/>
          <w:sz w:val="24"/>
          <w:szCs w:val="24"/>
        </w:rPr>
        <w:t>，单点接入带宽不小于1000M</w:t>
      </w:r>
    </w:p>
    <w:p>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本项目新建前端点位主用接入链路需求数量见下表（具体以实际施工结果为准）。</w:t>
      </w:r>
    </w:p>
    <w:tbl>
      <w:tblPr>
        <w:tblStyle w:val="16"/>
        <w:tblW w:w="8302" w:type="dxa"/>
        <w:tblInd w:w="0" w:type="dxa"/>
        <w:tblLayout w:type="fixed"/>
        <w:tblCellMar>
          <w:top w:w="0" w:type="dxa"/>
          <w:left w:w="108" w:type="dxa"/>
          <w:bottom w:w="0" w:type="dxa"/>
          <w:right w:w="108" w:type="dxa"/>
        </w:tblCellMar>
      </w:tblPr>
      <w:tblGrid>
        <w:gridCol w:w="847"/>
        <w:gridCol w:w="2125"/>
        <w:gridCol w:w="1418"/>
        <w:gridCol w:w="1841"/>
        <w:gridCol w:w="2071"/>
      </w:tblGrid>
      <w:tr>
        <w:tblPrEx>
          <w:tblLayout w:type="fixed"/>
          <w:tblCellMar>
            <w:top w:w="0" w:type="dxa"/>
            <w:left w:w="108" w:type="dxa"/>
            <w:bottom w:w="0" w:type="dxa"/>
            <w:right w:w="108" w:type="dxa"/>
          </w:tblCellMar>
        </w:tblPrEx>
        <w:trPr>
          <w:trHeight w:val="735" w:hRule="atLeast"/>
        </w:trPr>
        <w:tc>
          <w:tcPr>
            <w:tcW w:w="84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eastAsia="宋体" w:cs="Times New Roman"/>
                <w:b/>
                <w:bCs/>
                <w:color w:val="000000"/>
                <w:kern w:val="0"/>
                <w:sz w:val="20"/>
                <w:szCs w:val="20"/>
              </w:rPr>
            </w:pPr>
            <w:r>
              <w:rPr>
                <w:rFonts w:ascii="Times New Roman" w:hAnsi="Times New Roman" w:eastAsia="宋体" w:cs="Times New Roman"/>
                <w:b/>
                <w:bCs/>
                <w:color w:val="000000"/>
                <w:kern w:val="0"/>
                <w:sz w:val="20"/>
                <w:szCs w:val="20"/>
              </w:rPr>
              <w:t>序号</w:t>
            </w:r>
          </w:p>
        </w:tc>
        <w:tc>
          <w:tcPr>
            <w:tcW w:w="2125"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Times New Roman" w:hAnsi="Times New Roman" w:eastAsia="宋体" w:cs="Times New Roman"/>
                <w:b/>
                <w:bCs/>
                <w:kern w:val="0"/>
                <w:sz w:val="20"/>
                <w:szCs w:val="20"/>
              </w:rPr>
            </w:pPr>
            <w:r>
              <w:rPr>
                <w:rFonts w:ascii="Times New Roman" w:hAnsi="Times New Roman" w:eastAsia="宋体" w:cs="Times New Roman"/>
                <w:b/>
                <w:bCs/>
                <w:kern w:val="0"/>
                <w:sz w:val="20"/>
                <w:szCs w:val="20"/>
              </w:rPr>
              <w:t>需求单位</w:t>
            </w:r>
          </w:p>
        </w:tc>
        <w:tc>
          <w:tcPr>
            <w:tcW w:w="1418"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Times New Roman" w:hAnsi="Times New Roman" w:eastAsia="宋体" w:cs="Times New Roman"/>
                <w:b/>
                <w:bCs/>
                <w:color w:val="000000"/>
                <w:kern w:val="0"/>
                <w:szCs w:val="21"/>
              </w:rPr>
            </w:pPr>
            <w:r>
              <w:rPr>
                <w:rFonts w:ascii="Times New Roman" w:hAnsi="Times New Roman" w:eastAsia="宋体" w:cs="Times New Roman"/>
                <w:b/>
                <w:bCs/>
                <w:color w:val="000000"/>
                <w:kern w:val="0"/>
                <w:szCs w:val="21"/>
              </w:rPr>
              <w:t>点位数量（个）</w:t>
            </w:r>
          </w:p>
        </w:tc>
        <w:tc>
          <w:tcPr>
            <w:tcW w:w="1841"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Times New Roman" w:hAnsi="Times New Roman" w:eastAsia="宋体" w:cs="Times New Roman"/>
                <w:b/>
                <w:bCs/>
                <w:color w:val="000000"/>
                <w:kern w:val="0"/>
                <w:szCs w:val="21"/>
              </w:rPr>
            </w:pPr>
            <w:r>
              <w:rPr>
                <w:rFonts w:ascii="Times New Roman" w:hAnsi="Times New Roman" w:eastAsia="宋体" w:cs="Times New Roman"/>
                <w:b/>
                <w:bCs/>
                <w:color w:val="000000"/>
                <w:kern w:val="0"/>
                <w:szCs w:val="21"/>
              </w:rPr>
              <w:t>摄像机数量（台）</w:t>
            </w:r>
          </w:p>
        </w:tc>
        <w:tc>
          <w:tcPr>
            <w:tcW w:w="2071"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Times New Roman" w:hAnsi="Times New Roman" w:eastAsia="宋体" w:cs="Times New Roman"/>
                <w:b/>
                <w:bCs/>
                <w:color w:val="000000"/>
                <w:kern w:val="0"/>
                <w:sz w:val="20"/>
                <w:szCs w:val="20"/>
              </w:rPr>
            </w:pPr>
            <w:r>
              <w:rPr>
                <w:rFonts w:ascii="Times New Roman" w:hAnsi="Times New Roman" w:eastAsia="宋体" w:cs="Times New Roman"/>
                <w:b/>
                <w:bCs/>
                <w:color w:val="000000"/>
                <w:kern w:val="0"/>
                <w:szCs w:val="21"/>
              </w:rPr>
              <w:t>接入链路数量（条）</w:t>
            </w:r>
          </w:p>
        </w:tc>
      </w:tr>
      <w:tr>
        <w:tblPrEx>
          <w:tblLayout w:type="fixed"/>
          <w:tblCellMar>
            <w:top w:w="0" w:type="dxa"/>
            <w:left w:w="108" w:type="dxa"/>
            <w:bottom w:w="0" w:type="dxa"/>
            <w:right w:w="108" w:type="dxa"/>
          </w:tblCellMar>
        </w:tblPrEx>
        <w:trPr>
          <w:trHeight w:val="402" w:hRule="atLeast"/>
        </w:trPr>
        <w:tc>
          <w:tcPr>
            <w:tcW w:w="847"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1</w:t>
            </w:r>
          </w:p>
        </w:tc>
        <w:tc>
          <w:tcPr>
            <w:tcW w:w="2125"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荷花池派出所</w:t>
            </w:r>
          </w:p>
        </w:tc>
        <w:tc>
          <w:tcPr>
            <w:tcW w:w="1418"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66</w:t>
            </w:r>
          </w:p>
        </w:tc>
        <w:tc>
          <w:tcPr>
            <w:tcW w:w="1841"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85</w:t>
            </w:r>
          </w:p>
        </w:tc>
        <w:tc>
          <w:tcPr>
            <w:tcW w:w="2071"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66</w:t>
            </w:r>
          </w:p>
        </w:tc>
      </w:tr>
      <w:tr>
        <w:tblPrEx>
          <w:tblLayout w:type="fixed"/>
          <w:tblCellMar>
            <w:top w:w="0" w:type="dxa"/>
            <w:left w:w="108" w:type="dxa"/>
            <w:bottom w:w="0" w:type="dxa"/>
            <w:right w:w="108" w:type="dxa"/>
          </w:tblCellMar>
        </w:tblPrEx>
        <w:trPr>
          <w:trHeight w:val="402" w:hRule="atLeast"/>
        </w:trPr>
        <w:tc>
          <w:tcPr>
            <w:tcW w:w="847"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2</w:t>
            </w:r>
          </w:p>
        </w:tc>
        <w:tc>
          <w:tcPr>
            <w:tcW w:w="2125"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黄口派出所</w:t>
            </w:r>
          </w:p>
        </w:tc>
        <w:tc>
          <w:tcPr>
            <w:tcW w:w="1418"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51</w:t>
            </w:r>
          </w:p>
        </w:tc>
        <w:tc>
          <w:tcPr>
            <w:tcW w:w="1841"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67</w:t>
            </w:r>
          </w:p>
        </w:tc>
        <w:tc>
          <w:tcPr>
            <w:tcW w:w="2071"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51</w:t>
            </w:r>
          </w:p>
        </w:tc>
      </w:tr>
      <w:tr>
        <w:tblPrEx>
          <w:tblLayout w:type="fixed"/>
          <w:tblCellMar>
            <w:top w:w="0" w:type="dxa"/>
            <w:left w:w="108" w:type="dxa"/>
            <w:bottom w:w="0" w:type="dxa"/>
            <w:right w:w="108" w:type="dxa"/>
          </w:tblCellMar>
        </w:tblPrEx>
        <w:trPr>
          <w:trHeight w:val="402" w:hRule="atLeast"/>
        </w:trPr>
        <w:tc>
          <w:tcPr>
            <w:tcW w:w="847"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3</w:t>
            </w:r>
          </w:p>
        </w:tc>
        <w:tc>
          <w:tcPr>
            <w:tcW w:w="2125"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老街派出所</w:t>
            </w:r>
          </w:p>
        </w:tc>
        <w:tc>
          <w:tcPr>
            <w:tcW w:w="1418"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30</w:t>
            </w:r>
          </w:p>
        </w:tc>
        <w:tc>
          <w:tcPr>
            <w:tcW w:w="1841"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37</w:t>
            </w:r>
          </w:p>
        </w:tc>
        <w:tc>
          <w:tcPr>
            <w:tcW w:w="2071"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30</w:t>
            </w:r>
          </w:p>
        </w:tc>
      </w:tr>
      <w:tr>
        <w:tblPrEx>
          <w:tblLayout w:type="fixed"/>
          <w:tblCellMar>
            <w:top w:w="0" w:type="dxa"/>
            <w:left w:w="108" w:type="dxa"/>
            <w:bottom w:w="0" w:type="dxa"/>
            <w:right w:w="108" w:type="dxa"/>
          </w:tblCellMar>
        </w:tblPrEx>
        <w:trPr>
          <w:trHeight w:val="402" w:hRule="atLeast"/>
        </w:trPr>
        <w:tc>
          <w:tcPr>
            <w:tcW w:w="847"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4</w:t>
            </w:r>
          </w:p>
        </w:tc>
        <w:tc>
          <w:tcPr>
            <w:tcW w:w="2125"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黎阳派出所</w:t>
            </w:r>
          </w:p>
        </w:tc>
        <w:tc>
          <w:tcPr>
            <w:tcW w:w="1418"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107</w:t>
            </w:r>
          </w:p>
        </w:tc>
        <w:tc>
          <w:tcPr>
            <w:tcW w:w="1841"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145</w:t>
            </w:r>
          </w:p>
        </w:tc>
        <w:tc>
          <w:tcPr>
            <w:tcW w:w="2071"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107</w:t>
            </w:r>
          </w:p>
        </w:tc>
      </w:tr>
      <w:tr>
        <w:tblPrEx>
          <w:tblLayout w:type="fixed"/>
          <w:tblCellMar>
            <w:top w:w="0" w:type="dxa"/>
            <w:left w:w="108" w:type="dxa"/>
            <w:bottom w:w="0" w:type="dxa"/>
            <w:right w:w="108" w:type="dxa"/>
          </w:tblCellMar>
        </w:tblPrEx>
        <w:trPr>
          <w:trHeight w:val="402" w:hRule="atLeast"/>
        </w:trPr>
        <w:tc>
          <w:tcPr>
            <w:tcW w:w="847"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5</w:t>
            </w:r>
          </w:p>
        </w:tc>
        <w:tc>
          <w:tcPr>
            <w:tcW w:w="2125"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屯光派出所</w:t>
            </w:r>
          </w:p>
        </w:tc>
        <w:tc>
          <w:tcPr>
            <w:tcW w:w="1418"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110</w:t>
            </w:r>
          </w:p>
        </w:tc>
        <w:tc>
          <w:tcPr>
            <w:tcW w:w="1841"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149</w:t>
            </w:r>
          </w:p>
        </w:tc>
        <w:tc>
          <w:tcPr>
            <w:tcW w:w="2071"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110</w:t>
            </w:r>
          </w:p>
        </w:tc>
      </w:tr>
      <w:tr>
        <w:tblPrEx>
          <w:tblLayout w:type="fixed"/>
          <w:tblCellMar>
            <w:top w:w="0" w:type="dxa"/>
            <w:left w:w="108" w:type="dxa"/>
            <w:bottom w:w="0" w:type="dxa"/>
            <w:right w:w="108" w:type="dxa"/>
          </w:tblCellMar>
        </w:tblPrEx>
        <w:trPr>
          <w:trHeight w:val="402" w:hRule="atLeast"/>
        </w:trPr>
        <w:tc>
          <w:tcPr>
            <w:tcW w:w="847"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6</w:t>
            </w:r>
          </w:p>
        </w:tc>
        <w:tc>
          <w:tcPr>
            <w:tcW w:w="2125"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阳湖派出所</w:t>
            </w:r>
          </w:p>
        </w:tc>
        <w:tc>
          <w:tcPr>
            <w:tcW w:w="1418"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48</w:t>
            </w:r>
          </w:p>
        </w:tc>
        <w:tc>
          <w:tcPr>
            <w:tcW w:w="1841"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64</w:t>
            </w:r>
          </w:p>
        </w:tc>
        <w:tc>
          <w:tcPr>
            <w:tcW w:w="2071"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48</w:t>
            </w:r>
          </w:p>
        </w:tc>
      </w:tr>
      <w:tr>
        <w:tblPrEx>
          <w:tblLayout w:type="fixed"/>
          <w:tblCellMar>
            <w:top w:w="0" w:type="dxa"/>
            <w:left w:w="108" w:type="dxa"/>
            <w:bottom w:w="0" w:type="dxa"/>
            <w:right w:w="108" w:type="dxa"/>
          </w:tblCellMar>
        </w:tblPrEx>
        <w:trPr>
          <w:trHeight w:val="402" w:hRule="atLeast"/>
        </w:trPr>
        <w:tc>
          <w:tcPr>
            <w:tcW w:w="847"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7</w:t>
            </w:r>
          </w:p>
        </w:tc>
        <w:tc>
          <w:tcPr>
            <w:tcW w:w="2125"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hint="eastAsia" w:ascii="Times New Roman" w:hAnsi="Times New Roman" w:eastAsia="宋体" w:cs="Times New Roman"/>
                <w:color w:val="000000"/>
                <w:kern w:val="0"/>
                <w:sz w:val="20"/>
                <w:szCs w:val="20"/>
              </w:rPr>
              <w:t>奕</w:t>
            </w:r>
            <w:r>
              <w:rPr>
                <w:rFonts w:ascii="Times New Roman" w:hAnsi="Times New Roman" w:eastAsia="宋体" w:cs="Times New Roman"/>
                <w:color w:val="000000"/>
                <w:kern w:val="0"/>
                <w:sz w:val="20"/>
                <w:szCs w:val="20"/>
              </w:rPr>
              <w:t>棋派出所</w:t>
            </w:r>
          </w:p>
        </w:tc>
        <w:tc>
          <w:tcPr>
            <w:tcW w:w="1418"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99</w:t>
            </w:r>
          </w:p>
        </w:tc>
        <w:tc>
          <w:tcPr>
            <w:tcW w:w="1841"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108</w:t>
            </w:r>
          </w:p>
        </w:tc>
        <w:tc>
          <w:tcPr>
            <w:tcW w:w="2071"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99</w:t>
            </w:r>
          </w:p>
        </w:tc>
      </w:tr>
      <w:tr>
        <w:tblPrEx>
          <w:tblLayout w:type="fixed"/>
          <w:tblCellMar>
            <w:top w:w="0" w:type="dxa"/>
            <w:left w:w="108" w:type="dxa"/>
            <w:bottom w:w="0" w:type="dxa"/>
            <w:right w:w="108" w:type="dxa"/>
          </w:tblCellMar>
        </w:tblPrEx>
        <w:trPr>
          <w:trHeight w:val="402" w:hRule="atLeast"/>
        </w:trPr>
        <w:tc>
          <w:tcPr>
            <w:tcW w:w="847"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8</w:t>
            </w:r>
          </w:p>
        </w:tc>
        <w:tc>
          <w:tcPr>
            <w:tcW w:w="2125"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中市派出所</w:t>
            </w:r>
          </w:p>
        </w:tc>
        <w:tc>
          <w:tcPr>
            <w:tcW w:w="1418"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122</w:t>
            </w:r>
          </w:p>
        </w:tc>
        <w:tc>
          <w:tcPr>
            <w:tcW w:w="1841"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141</w:t>
            </w:r>
          </w:p>
        </w:tc>
        <w:tc>
          <w:tcPr>
            <w:tcW w:w="2071"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122</w:t>
            </w:r>
          </w:p>
        </w:tc>
      </w:tr>
      <w:tr>
        <w:tblPrEx>
          <w:tblLayout w:type="fixed"/>
          <w:tblCellMar>
            <w:top w:w="0" w:type="dxa"/>
            <w:left w:w="108" w:type="dxa"/>
            <w:bottom w:w="0" w:type="dxa"/>
            <w:right w:w="108" w:type="dxa"/>
          </w:tblCellMar>
        </w:tblPrEx>
        <w:trPr>
          <w:trHeight w:val="402" w:hRule="atLeast"/>
        </w:trPr>
        <w:tc>
          <w:tcPr>
            <w:tcW w:w="847"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b/>
                <w:bCs/>
                <w:color w:val="000000"/>
                <w:kern w:val="0"/>
                <w:sz w:val="20"/>
                <w:szCs w:val="20"/>
              </w:rPr>
            </w:pPr>
            <w:r>
              <w:rPr>
                <w:rFonts w:ascii="Times New Roman" w:hAnsi="Times New Roman" w:eastAsia="宋体" w:cs="Times New Roman"/>
                <w:b/>
                <w:bCs/>
                <w:color w:val="000000"/>
                <w:kern w:val="0"/>
                <w:sz w:val="20"/>
                <w:szCs w:val="20"/>
              </w:rPr>
              <w:t>9</w:t>
            </w:r>
          </w:p>
        </w:tc>
        <w:tc>
          <w:tcPr>
            <w:tcW w:w="2125"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b/>
                <w:bCs/>
                <w:color w:val="000000"/>
                <w:kern w:val="0"/>
                <w:sz w:val="20"/>
                <w:szCs w:val="20"/>
              </w:rPr>
            </w:pPr>
            <w:r>
              <w:rPr>
                <w:rFonts w:ascii="Times New Roman" w:hAnsi="Times New Roman" w:eastAsia="宋体" w:cs="Times New Roman"/>
                <w:b/>
                <w:bCs/>
                <w:color w:val="000000"/>
                <w:kern w:val="0"/>
                <w:sz w:val="20"/>
                <w:szCs w:val="20"/>
              </w:rPr>
              <w:t>合计</w:t>
            </w:r>
          </w:p>
        </w:tc>
        <w:tc>
          <w:tcPr>
            <w:tcW w:w="1418"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b/>
                <w:bCs/>
                <w:color w:val="000000"/>
                <w:kern w:val="0"/>
                <w:sz w:val="20"/>
                <w:szCs w:val="20"/>
              </w:rPr>
            </w:pPr>
            <w:r>
              <w:rPr>
                <w:rFonts w:ascii="Times New Roman" w:hAnsi="Times New Roman" w:eastAsia="宋体" w:cs="Times New Roman"/>
                <w:b/>
                <w:bCs/>
                <w:color w:val="000000"/>
                <w:kern w:val="0"/>
                <w:sz w:val="20"/>
                <w:szCs w:val="20"/>
              </w:rPr>
              <w:t>633</w:t>
            </w:r>
          </w:p>
        </w:tc>
        <w:tc>
          <w:tcPr>
            <w:tcW w:w="1841"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b/>
                <w:bCs/>
                <w:color w:val="000000"/>
                <w:kern w:val="0"/>
                <w:sz w:val="20"/>
                <w:szCs w:val="20"/>
              </w:rPr>
            </w:pPr>
            <w:r>
              <w:rPr>
                <w:rFonts w:ascii="Times New Roman" w:hAnsi="Times New Roman" w:eastAsia="宋体" w:cs="Times New Roman"/>
                <w:b/>
                <w:bCs/>
                <w:color w:val="000000"/>
                <w:kern w:val="0"/>
                <w:sz w:val="20"/>
                <w:szCs w:val="20"/>
              </w:rPr>
              <w:t>796</w:t>
            </w:r>
          </w:p>
        </w:tc>
        <w:tc>
          <w:tcPr>
            <w:tcW w:w="2071"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b/>
                <w:bCs/>
                <w:color w:val="000000"/>
                <w:kern w:val="0"/>
                <w:sz w:val="20"/>
                <w:szCs w:val="20"/>
              </w:rPr>
            </w:pPr>
            <w:r>
              <w:rPr>
                <w:rFonts w:ascii="Times New Roman" w:hAnsi="Times New Roman" w:eastAsia="宋体" w:cs="Times New Roman"/>
                <w:b/>
                <w:bCs/>
                <w:color w:val="000000"/>
                <w:kern w:val="0"/>
                <w:sz w:val="20"/>
                <w:szCs w:val="20"/>
              </w:rPr>
              <w:t>633</w:t>
            </w:r>
          </w:p>
        </w:tc>
      </w:tr>
    </w:tbl>
    <w:p>
      <w:pPr>
        <w:pStyle w:val="24"/>
        <w:spacing w:line="360" w:lineRule="auto"/>
        <w:ind w:firstLine="480"/>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sz w:val="24"/>
        </w:rPr>
        <w:t>提供8条基层队所接入专线，带宽不低于千兆并配套接入交换机。</w:t>
      </w:r>
      <w:r>
        <w:rPr>
          <w:rFonts w:ascii="Times New Roman" w:hAnsi="Times New Roman" w:eastAsia="宋体" w:cs="Times New Roman"/>
          <w:color w:val="000000" w:themeColor="text1"/>
          <w:sz w:val="24"/>
          <w:szCs w:val="24"/>
          <w14:textFill>
            <w14:solidFill>
              <w14:schemeClr w14:val="tx1"/>
            </w14:solidFill>
          </w14:textFill>
        </w:rPr>
        <w:t>各基层队所通过一条千兆专线链路接入到本地视频传输网节点机房，满足基层队所视频调阅、设备操控以及维护管理需求。</w:t>
      </w:r>
    </w:p>
    <w:p>
      <w:pPr>
        <w:pStyle w:val="24"/>
        <w:spacing w:line="360" w:lineRule="auto"/>
        <w:ind w:firstLine="480"/>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提供10套4G数据流量卡，用于警务车载监控系统4G图像回传。</w:t>
      </w:r>
    </w:p>
    <w:p>
      <w:pPr>
        <w:pStyle w:val="24"/>
        <w:spacing w:line="360" w:lineRule="auto"/>
        <w:ind w:firstLine="480"/>
        <w:rPr>
          <w:rFonts w:ascii="Times New Roman" w:hAnsi="Times New Roman" w:eastAsia="宋体" w:cs="Times New Roman"/>
          <w:sz w:val="24"/>
        </w:rPr>
      </w:pPr>
      <w:r>
        <w:rPr>
          <w:rFonts w:ascii="Times New Roman" w:hAnsi="Times New Roman" w:eastAsia="宋体" w:cs="Times New Roman"/>
          <w:sz w:val="24"/>
        </w:rPr>
        <w:t>中标商需提供14台千兆接入交换机，交换机至少配置48个千兆光口。</w:t>
      </w:r>
    </w:p>
    <w:p>
      <w:pPr>
        <w:pStyle w:val="24"/>
        <w:spacing w:line="360" w:lineRule="auto"/>
        <w:ind w:firstLine="482"/>
        <w:rPr>
          <w:rFonts w:ascii="Times New Roman" w:hAnsi="Times New Roman" w:eastAsia="宋体" w:cs="Times New Roman"/>
          <w:b/>
          <w:sz w:val="24"/>
        </w:rPr>
      </w:pPr>
      <w:r>
        <w:rPr>
          <w:rFonts w:ascii="Times New Roman" w:hAnsi="Times New Roman" w:eastAsia="宋体" w:cs="Times New Roman"/>
          <w:b/>
          <w:sz w:val="24"/>
        </w:rPr>
        <w:t>（2）前端点位备灾接入链路需求</w:t>
      </w:r>
    </w:p>
    <w:p>
      <w:pPr>
        <w:pStyle w:val="24"/>
        <w:spacing w:line="360" w:lineRule="auto"/>
        <w:ind w:firstLine="480"/>
        <w:rPr>
          <w:rFonts w:ascii="Times New Roman" w:hAnsi="Times New Roman" w:eastAsia="宋体" w:cs="Times New Roman"/>
          <w:sz w:val="24"/>
          <w:szCs w:val="24"/>
        </w:rPr>
      </w:pPr>
      <w:r>
        <w:rPr>
          <w:rFonts w:ascii="Times New Roman" w:hAnsi="Times New Roman" w:eastAsia="宋体" w:cs="Times New Roman"/>
          <w:sz w:val="24"/>
        </w:rPr>
        <w:t>提供80点位共计176路摄像机前端备灾接入链路，</w:t>
      </w:r>
      <w:r>
        <w:rPr>
          <w:rFonts w:ascii="Times New Roman" w:hAnsi="Times New Roman" w:eastAsia="宋体" w:cs="Times New Roman"/>
          <w:sz w:val="24"/>
          <w:szCs w:val="24"/>
        </w:rPr>
        <w:t>网络设备、传输光纤等涉及网络传输部分，全部由运营商提供。前端接入采用乡镇接入交换机-光电转换器（局端）-光电转换器（终端）-前端交换机-摄像头方式，每个前端交换机上行通过千兆接口与</w:t>
      </w:r>
      <w:r>
        <w:rPr>
          <w:rFonts w:ascii="Times New Roman" w:hAnsi="Times New Roman" w:eastAsia="宋体" w:cs="Times New Roman"/>
          <w:color w:val="000000" w:themeColor="text1"/>
          <w:sz w:val="24"/>
          <w:szCs w:val="24"/>
          <w14:textFill>
            <w14:solidFill>
              <w14:schemeClr w14:val="tx1"/>
            </w14:solidFill>
          </w14:textFill>
        </w:rPr>
        <w:t>市-县-乡三级骨干网络的</w:t>
      </w:r>
      <w:r>
        <w:rPr>
          <w:rFonts w:ascii="Times New Roman" w:hAnsi="Times New Roman" w:eastAsia="宋体" w:cs="Times New Roman"/>
          <w:sz w:val="24"/>
          <w:szCs w:val="24"/>
        </w:rPr>
        <w:t>乡镇接入交换机互联，下行通过千兆接口与摄像头互联。运营商提供的前端网络设备必须为室外使用设备，工作温度区间在-10</w:t>
      </w:r>
      <w:r>
        <w:rPr>
          <w:rFonts w:hint="eastAsia" w:ascii="宋体" w:hAnsi="宋体" w:eastAsia="宋体" w:cs="宋体"/>
          <w:sz w:val="24"/>
          <w:szCs w:val="24"/>
        </w:rPr>
        <w:t>℃</w:t>
      </w:r>
      <w:r>
        <w:rPr>
          <w:rFonts w:ascii="Times New Roman" w:hAnsi="Times New Roman" w:eastAsia="宋体" w:cs="Times New Roman"/>
          <w:sz w:val="24"/>
          <w:szCs w:val="24"/>
        </w:rPr>
        <w:t>～＋55</w:t>
      </w:r>
      <w:r>
        <w:rPr>
          <w:rFonts w:hint="eastAsia" w:ascii="宋体" w:hAnsi="宋体" w:eastAsia="宋体" w:cs="宋体"/>
          <w:sz w:val="24"/>
          <w:szCs w:val="24"/>
        </w:rPr>
        <w:t>℃</w:t>
      </w:r>
      <w:r>
        <w:rPr>
          <w:rFonts w:ascii="Times New Roman" w:hAnsi="Times New Roman" w:eastAsia="宋体" w:cs="Times New Roman"/>
          <w:sz w:val="24"/>
          <w:szCs w:val="24"/>
        </w:rPr>
        <w:t>，单点接入带宽不小于1000M。</w:t>
      </w:r>
    </w:p>
    <w:p>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本项目新建前端点位备灾接入链路需求数量见下表（具体以实际施工结果为准）。</w:t>
      </w:r>
    </w:p>
    <w:tbl>
      <w:tblPr>
        <w:tblStyle w:val="16"/>
        <w:tblW w:w="8302" w:type="dxa"/>
        <w:tblInd w:w="0" w:type="dxa"/>
        <w:tblLayout w:type="fixed"/>
        <w:tblCellMar>
          <w:top w:w="0" w:type="dxa"/>
          <w:left w:w="108" w:type="dxa"/>
          <w:bottom w:w="0" w:type="dxa"/>
          <w:right w:w="108" w:type="dxa"/>
        </w:tblCellMar>
      </w:tblPr>
      <w:tblGrid>
        <w:gridCol w:w="847"/>
        <w:gridCol w:w="2125"/>
        <w:gridCol w:w="1418"/>
        <w:gridCol w:w="1841"/>
        <w:gridCol w:w="2071"/>
      </w:tblGrid>
      <w:tr>
        <w:tblPrEx>
          <w:tblLayout w:type="fixed"/>
          <w:tblCellMar>
            <w:top w:w="0" w:type="dxa"/>
            <w:left w:w="108" w:type="dxa"/>
            <w:bottom w:w="0" w:type="dxa"/>
            <w:right w:w="108" w:type="dxa"/>
          </w:tblCellMar>
        </w:tblPrEx>
        <w:trPr>
          <w:trHeight w:val="735" w:hRule="atLeast"/>
        </w:trPr>
        <w:tc>
          <w:tcPr>
            <w:tcW w:w="84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eastAsia="宋体" w:cs="Times New Roman"/>
                <w:b/>
                <w:bCs/>
                <w:color w:val="000000"/>
                <w:kern w:val="0"/>
                <w:sz w:val="20"/>
                <w:szCs w:val="20"/>
              </w:rPr>
            </w:pPr>
            <w:r>
              <w:rPr>
                <w:rFonts w:ascii="Times New Roman" w:hAnsi="Times New Roman" w:eastAsia="宋体" w:cs="Times New Roman"/>
                <w:b/>
                <w:bCs/>
                <w:color w:val="000000"/>
                <w:kern w:val="0"/>
                <w:sz w:val="20"/>
                <w:szCs w:val="20"/>
              </w:rPr>
              <w:t>序号</w:t>
            </w:r>
          </w:p>
        </w:tc>
        <w:tc>
          <w:tcPr>
            <w:tcW w:w="2125"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Times New Roman" w:hAnsi="Times New Roman" w:eastAsia="宋体" w:cs="Times New Roman"/>
                <w:b/>
                <w:bCs/>
                <w:kern w:val="0"/>
                <w:sz w:val="20"/>
                <w:szCs w:val="20"/>
              </w:rPr>
            </w:pPr>
            <w:r>
              <w:rPr>
                <w:rFonts w:ascii="Times New Roman" w:hAnsi="Times New Roman" w:eastAsia="宋体" w:cs="Times New Roman"/>
                <w:b/>
                <w:bCs/>
                <w:kern w:val="0"/>
                <w:sz w:val="20"/>
                <w:szCs w:val="20"/>
              </w:rPr>
              <w:t>需求单位</w:t>
            </w:r>
          </w:p>
        </w:tc>
        <w:tc>
          <w:tcPr>
            <w:tcW w:w="1418"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Times New Roman" w:hAnsi="Times New Roman" w:eastAsia="宋体" w:cs="Times New Roman"/>
                <w:b/>
                <w:bCs/>
                <w:color w:val="000000"/>
                <w:kern w:val="0"/>
                <w:szCs w:val="21"/>
              </w:rPr>
            </w:pPr>
            <w:r>
              <w:rPr>
                <w:rFonts w:ascii="Times New Roman" w:hAnsi="Times New Roman" w:eastAsia="宋体" w:cs="Times New Roman"/>
                <w:b/>
                <w:bCs/>
                <w:color w:val="000000"/>
                <w:kern w:val="0"/>
                <w:szCs w:val="21"/>
              </w:rPr>
              <w:t>点位数量（个）</w:t>
            </w:r>
          </w:p>
        </w:tc>
        <w:tc>
          <w:tcPr>
            <w:tcW w:w="1841"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Times New Roman" w:hAnsi="Times New Roman" w:eastAsia="宋体" w:cs="Times New Roman"/>
                <w:b/>
                <w:bCs/>
                <w:color w:val="000000"/>
                <w:kern w:val="0"/>
                <w:szCs w:val="21"/>
              </w:rPr>
            </w:pPr>
            <w:r>
              <w:rPr>
                <w:rFonts w:ascii="Times New Roman" w:hAnsi="Times New Roman" w:eastAsia="宋体" w:cs="Times New Roman"/>
                <w:b/>
                <w:bCs/>
                <w:color w:val="000000"/>
                <w:kern w:val="0"/>
                <w:szCs w:val="21"/>
              </w:rPr>
              <w:t>摄像机数量（台）</w:t>
            </w:r>
          </w:p>
        </w:tc>
        <w:tc>
          <w:tcPr>
            <w:tcW w:w="2071"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Times New Roman" w:hAnsi="Times New Roman" w:eastAsia="宋体" w:cs="Times New Roman"/>
                <w:b/>
                <w:bCs/>
                <w:color w:val="000000"/>
                <w:kern w:val="0"/>
                <w:sz w:val="20"/>
                <w:szCs w:val="20"/>
              </w:rPr>
            </w:pPr>
            <w:r>
              <w:rPr>
                <w:rFonts w:ascii="Times New Roman" w:hAnsi="Times New Roman" w:eastAsia="宋体" w:cs="Times New Roman"/>
                <w:b/>
                <w:bCs/>
                <w:color w:val="000000"/>
                <w:kern w:val="0"/>
                <w:szCs w:val="21"/>
              </w:rPr>
              <w:t>接入链路数量（条）</w:t>
            </w:r>
          </w:p>
        </w:tc>
      </w:tr>
      <w:tr>
        <w:tblPrEx>
          <w:tblLayout w:type="fixed"/>
          <w:tblCellMar>
            <w:top w:w="0" w:type="dxa"/>
            <w:left w:w="108" w:type="dxa"/>
            <w:bottom w:w="0" w:type="dxa"/>
            <w:right w:w="108" w:type="dxa"/>
          </w:tblCellMar>
        </w:tblPrEx>
        <w:trPr>
          <w:trHeight w:val="402" w:hRule="atLeast"/>
        </w:trPr>
        <w:tc>
          <w:tcPr>
            <w:tcW w:w="847"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1</w:t>
            </w:r>
          </w:p>
        </w:tc>
        <w:tc>
          <w:tcPr>
            <w:tcW w:w="2125"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荷花池派出所</w:t>
            </w:r>
          </w:p>
        </w:tc>
        <w:tc>
          <w:tcPr>
            <w:tcW w:w="1418"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11</w:t>
            </w:r>
          </w:p>
        </w:tc>
        <w:tc>
          <w:tcPr>
            <w:tcW w:w="1841"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24</w:t>
            </w:r>
          </w:p>
        </w:tc>
        <w:tc>
          <w:tcPr>
            <w:tcW w:w="2071"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11</w:t>
            </w:r>
          </w:p>
        </w:tc>
      </w:tr>
      <w:tr>
        <w:tblPrEx>
          <w:tblLayout w:type="fixed"/>
          <w:tblCellMar>
            <w:top w:w="0" w:type="dxa"/>
            <w:left w:w="108" w:type="dxa"/>
            <w:bottom w:w="0" w:type="dxa"/>
            <w:right w:w="108" w:type="dxa"/>
          </w:tblCellMar>
        </w:tblPrEx>
        <w:trPr>
          <w:trHeight w:val="402" w:hRule="atLeast"/>
        </w:trPr>
        <w:tc>
          <w:tcPr>
            <w:tcW w:w="847"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2</w:t>
            </w:r>
          </w:p>
        </w:tc>
        <w:tc>
          <w:tcPr>
            <w:tcW w:w="2125"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黄口派出所</w:t>
            </w:r>
          </w:p>
        </w:tc>
        <w:tc>
          <w:tcPr>
            <w:tcW w:w="1418"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3</w:t>
            </w:r>
          </w:p>
        </w:tc>
        <w:tc>
          <w:tcPr>
            <w:tcW w:w="1841"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6</w:t>
            </w:r>
          </w:p>
        </w:tc>
        <w:tc>
          <w:tcPr>
            <w:tcW w:w="2071"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3</w:t>
            </w:r>
          </w:p>
        </w:tc>
      </w:tr>
      <w:tr>
        <w:tblPrEx>
          <w:tblLayout w:type="fixed"/>
          <w:tblCellMar>
            <w:top w:w="0" w:type="dxa"/>
            <w:left w:w="108" w:type="dxa"/>
            <w:bottom w:w="0" w:type="dxa"/>
            <w:right w:w="108" w:type="dxa"/>
          </w:tblCellMar>
        </w:tblPrEx>
        <w:trPr>
          <w:trHeight w:val="402" w:hRule="atLeast"/>
        </w:trPr>
        <w:tc>
          <w:tcPr>
            <w:tcW w:w="847"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3</w:t>
            </w:r>
          </w:p>
        </w:tc>
        <w:tc>
          <w:tcPr>
            <w:tcW w:w="2125"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老街派出所</w:t>
            </w:r>
          </w:p>
        </w:tc>
        <w:tc>
          <w:tcPr>
            <w:tcW w:w="1418"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3</w:t>
            </w:r>
          </w:p>
        </w:tc>
        <w:tc>
          <w:tcPr>
            <w:tcW w:w="1841"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6</w:t>
            </w:r>
          </w:p>
        </w:tc>
        <w:tc>
          <w:tcPr>
            <w:tcW w:w="2071"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3</w:t>
            </w:r>
          </w:p>
        </w:tc>
      </w:tr>
      <w:tr>
        <w:tblPrEx>
          <w:tblLayout w:type="fixed"/>
          <w:tblCellMar>
            <w:top w:w="0" w:type="dxa"/>
            <w:left w:w="108" w:type="dxa"/>
            <w:bottom w:w="0" w:type="dxa"/>
            <w:right w:w="108" w:type="dxa"/>
          </w:tblCellMar>
        </w:tblPrEx>
        <w:trPr>
          <w:trHeight w:val="402" w:hRule="atLeast"/>
        </w:trPr>
        <w:tc>
          <w:tcPr>
            <w:tcW w:w="847"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4</w:t>
            </w:r>
          </w:p>
        </w:tc>
        <w:tc>
          <w:tcPr>
            <w:tcW w:w="2125"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黎阳派出所</w:t>
            </w:r>
          </w:p>
        </w:tc>
        <w:tc>
          <w:tcPr>
            <w:tcW w:w="1418"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20</w:t>
            </w:r>
          </w:p>
        </w:tc>
        <w:tc>
          <w:tcPr>
            <w:tcW w:w="1841"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47</w:t>
            </w:r>
          </w:p>
        </w:tc>
        <w:tc>
          <w:tcPr>
            <w:tcW w:w="2071"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20</w:t>
            </w:r>
          </w:p>
        </w:tc>
      </w:tr>
      <w:tr>
        <w:tblPrEx>
          <w:tblLayout w:type="fixed"/>
          <w:tblCellMar>
            <w:top w:w="0" w:type="dxa"/>
            <w:left w:w="108" w:type="dxa"/>
            <w:bottom w:w="0" w:type="dxa"/>
            <w:right w:w="108" w:type="dxa"/>
          </w:tblCellMar>
        </w:tblPrEx>
        <w:trPr>
          <w:trHeight w:val="402" w:hRule="atLeast"/>
        </w:trPr>
        <w:tc>
          <w:tcPr>
            <w:tcW w:w="847"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5</w:t>
            </w:r>
          </w:p>
        </w:tc>
        <w:tc>
          <w:tcPr>
            <w:tcW w:w="2125"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屯光派出所</w:t>
            </w:r>
          </w:p>
        </w:tc>
        <w:tc>
          <w:tcPr>
            <w:tcW w:w="1418"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29</w:t>
            </w:r>
          </w:p>
        </w:tc>
        <w:tc>
          <w:tcPr>
            <w:tcW w:w="1841"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64</w:t>
            </w:r>
          </w:p>
        </w:tc>
        <w:tc>
          <w:tcPr>
            <w:tcW w:w="2071"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29</w:t>
            </w:r>
          </w:p>
        </w:tc>
      </w:tr>
      <w:tr>
        <w:tblPrEx>
          <w:tblLayout w:type="fixed"/>
          <w:tblCellMar>
            <w:top w:w="0" w:type="dxa"/>
            <w:left w:w="108" w:type="dxa"/>
            <w:bottom w:w="0" w:type="dxa"/>
            <w:right w:w="108" w:type="dxa"/>
          </w:tblCellMar>
        </w:tblPrEx>
        <w:trPr>
          <w:trHeight w:val="402" w:hRule="atLeast"/>
        </w:trPr>
        <w:tc>
          <w:tcPr>
            <w:tcW w:w="847"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6</w:t>
            </w:r>
          </w:p>
        </w:tc>
        <w:tc>
          <w:tcPr>
            <w:tcW w:w="2125"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阳湖派出所</w:t>
            </w:r>
          </w:p>
        </w:tc>
        <w:tc>
          <w:tcPr>
            <w:tcW w:w="1418"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5</w:t>
            </w:r>
          </w:p>
        </w:tc>
        <w:tc>
          <w:tcPr>
            <w:tcW w:w="1841"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10</w:t>
            </w:r>
          </w:p>
        </w:tc>
        <w:tc>
          <w:tcPr>
            <w:tcW w:w="2071"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5</w:t>
            </w:r>
          </w:p>
        </w:tc>
      </w:tr>
      <w:tr>
        <w:tblPrEx>
          <w:tblLayout w:type="fixed"/>
          <w:tblCellMar>
            <w:top w:w="0" w:type="dxa"/>
            <w:left w:w="108" w:type="dxa"/>
            <w:bottom w:w="0" w:type="dxa"/>
            <w:right w:w="108" w:type="dxa"/>
          </w:tblCellMar>
        </w:tblPrEx>
        <w:trPr>
          <w:trHeight w:val="402" w:hRule="atLeast"/>
        </w:trPr>
        <w:tc>
          <w:tcPr>
            <w:tcW w:w="847"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7</w:t>
            </w:r>
          </w:p>
        </w:tc>
        <w:tc>
          <w:tcPr>
            <w:tcW w:w="2125"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中市派出所</w:t>
            </w:r>
          </w:p>
        </w:tc>
        <w:tc>
          <w:tcPr>
            <w:tcW w:w="1418"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9</w:t>
            </w:r>
          </w:p>
        </w:tc>
        <w:tc>
          <w:tcPr>
            <w:tcW w:w="1841"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19</w:t>
            </w:r>
          </w:p>
        </w:tc>
        <w:tc>
          <w:tcPr>
            <w:tcW w:w="2071"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9</w:t>
            </w:r>
          </w:p>
        </w:tc>
      </w:tr>
      <w:tr>
        <w:tblPrEx>
          <w:tblLayout w:type="fixed"/>
          <w:tblCellMar>
            <w:top w:w="0" w:type="dxa"/>
            <w:left w:w="108" w:type="dxa"/>
            <w:bottom w:w="0" w:type="dxa"/>
            <w:right w:w="108" w:type="dxa"/>
          </w:tblCellMar>
        </w:tblPrEx>
        <w:trPr>
          <w:trHeight w:val="402" w:hRule="atLeast"/>
        </w:trPr>
        <w:tc>
          <w:tcPr>
            <w:tcW w:w="847"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8</w:t>
            </w:r>
          </w:p>
        </w:tc>
        <w:tc>
          <w:tcPr>
            <w:tcW w:w="2125"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合计</w:t>
            </w:r>
          </w:p>
        </w:tc>
        <w:tc>
          <w:tcPr>
            <w:tcW w:w="1418"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80</w:t>
            </w:r>
          </w:p>
        </w:tc>
        <w:tc>
          <w:tcPr>
            <w:tcW w:w="1841"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176</w:t>
            </w:r>
          </w:p>
        </w:tc>
        <w:tc>
          <w:tcPr>
            <w:tcW w:w="2071"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80</w:t>
            </w:r>
          </w:p>
        </w:tc>
      </w:tr>
    </w:tbl>
    <w:p>
      <w:pPr>
        <w:pStyle w:val="24"/>
        <w:spacing w:line="360" w:lineRule="auto"/>
        <w:ind w:firstLine="480"/>
        <w:rPr>
          <w:rFonts w:ascii="Times New Roman" w:hAnsi="Times New Roman" w:eastAsia="宋体" w:cs="Times New Roman"/>
          <w:sz w:val="24"/>
        </w:rPr>
      </w:pPr>
      <w:r>
        <w:rPr>
          <w:rFonts w:ascii="Times New Roman" w:hAnsi="Times New Roman" w:eastAsia="宋体" w:cs="Times New Roman"/>
          <w:sz w:val="24"/>
        </w:rPr>
        <w:t>中标商需提供2台千兆接入交换机，交换机至少配置48个千兆光口。</w:t>
      </w:r>
    </w:p>
    <w:p>
      <w:pPr>
        <w:pStyle w:val="24"/>
        <w:spacing w:line="360" w:lineRule="auto"/>
        <w:ind w:firstLine="480"/>
        <w:rPr>
          <w:rFonts w:ascii="Times New Roman" w:hAnsi="Times New Roman" w:eastAsia="宋体" w:cs="Times New Roman"/>
          <w:sz w:val="24"/>
          <w:szCs w:val="24"/>
        </w:rPr>
      </w:pPr>
      <w:r>
        <w:rPr>
          <w:rFonts w:ascii="Times New Roman" w:hAnsi="Times New Roman" w:eastAsia="宋体" w:cs="Times New Roman"/>
          <w:sz w:val="24"/>
          <w:szCs w:val="24"/>
        </w:rPr>
        <w:t>运营商提供的所有光纤通信线路应专网专用，不得复用于其他业务。</w:t>
      </w:r>
    </w:p>
    <w:p>
      <w:pPr>
        <w:pStyle w:val="3"/>
        <w:spacing w:before="120" w:beforeLines="50" w:after="120" w:afterLines="50" w:line="360" w:lineRule="auto"/>
        <w:rPr>
          <w:rFonts w:ascii="Times New Roman" w:hAnsi="Times New Roman" w:eastAsia="黑体" w:cs="Times New Roman"/>
          <w:b w:val="0"/>
          <w:sz w:val="30"/>
          <w:szCs w:val="30"/>
        </w:rPr>
      </w:pPr>
      <w:bookmarkStart w:id="30" w:name="_Toc535150757"/>
      <w:bookmarkStart w:id="31" w:name="_Toc536694682"/>
      <w:bookmarkStart w:id="32" w:name="_Toc536694740"/>
      <w:r>
        <w:rPr>
          <w:rFonts w:ascii="Times New Roman" w:hAnsi="Times New Roman" w:eastAsia="黑体" w:cs="Times New Roman"/>
          <w:b w:val="0"/>
          <w:sz w:val="30"/>
          <w:szCs w:val="30"/>
        </w:rPr>
        <w:t>2.2、社会治理物联网交互应用系统需求</w:t>
      </w:r>
      <w:bookmarkEnd w:id="30"/>
      <w:bookmarkEnd w:id="31"/>
      <w:bookmarkEnd w:id="32"/>
    </w:p>
    <w:p>
      <w:pPr>
        <w:spacing w:line="360" w:lineRule="auto"/>
        <w:ind w:firstLine="480" w:firstLineChars="200"/>
        <w:jc w:val="left"/>
        <w:rPr>
          <w:rFonts w:ascii="Times New Roman" w:hAnsi="Times New Roman" w:eastAsia="宋体" w:cs="Times New Roman"/>
          <w:sz w:val="24"/>
          <w:szCs w:val="24"/>
        </w:rPr>
      </w:pPr>
      <w:r>
        <w:rPr>
          <w:rFonts w:ascii="Times New Roman" w:hAnsi="Times New Roman" w:eastAsia="宋体" w:cs="Times New Roman"/>
          <w:color w:val="000000" w:themeColor="text1"/>
          <w:sz w:val="24"/>
          <w:szCs w:val="24"/>
          <w14:textFill>
            <w14:solidFill>
              <w14:schemeClr w14:val="tx1"/>
            </w14:solidFill>
          </w14:textFill>
        </w:rPr>
        <w:t>建设社会治理物联网交互应用系统</w:t>
      </w:r>
      <w:r>
        <w:rPr>
          <w:rFonts w:ascii="Times New Roman" w:hAnsi="Times New Roman" w:eastAsia="宋体" w:cs="Times New Roman"/>
          <w:sz w:val="24"/>
          <w:szCs w:val="24"/>
        </w:rPr>
        <w:t>，系统需与市级雪亮工程总平台安全有效对接，主要用于整合各政府部门、行业单位、社会面视频图像信息资源。平台需实现前端各类复杂网络的安全透明接入，依托GIS地图，实现感知数据分类上图，进行直观标注展示，并提供多种可视化检索分析方法；提供视频管理、视频应用、可视化应急联动一站式服务，依托平台，借力物联网、人工智能等先进技术，实现对海量数据的高效管理，并实现智能化扩展应用。</w:t>
      </w:r>
    </w:p>
    <w:p>
      <w:pPr>
        <w:pStyle w:val="3"/>
        <w:spacing w:before="120" w:beforeLines="50" w:after="120" w:afterLines="50" w:line="360" w:lineRule="auto"/>
        <w:rPr>
          <w:rFonts w:ascii="Times New Roman" w:hAnsi="Times New Roman" w:eastAsia="黑体" w:cs="Times New Roman"/>
          <w:b w:val="0"/>
          <w:sz w:val="30"/>
          <w:szCs w:val="30"/>
        </w:rPr>
      </w:pPr>
      <w:bookmarkStart w:id="33" w:name="_Toc535150758"/>
      <w:bookmarkStart w:id="34" w:name="_Toc536694683"/>
      <w:bookmarkStart w:id="35" w:name="_Toc535146281"/>
      <w:bookmarkStart w:id="36" w:name="_Toc536694741"/>
      <w:r>
        <w:rPr>
          <w:rFonts w:ascii="Times New Roman" w:hAnsi="Times New Roman" w:eastAsia="黑体" w:cs="Times New Roman"/>
          <w:b w:val="0"/>
          <w:sz w:val="30"/>
          <w:szCs w:val="30"/>
        </w:rPr>
        <w:t>2.3、质量及服务要求</w:t>
      </w:r>
      <w:bookmarkEnd w:id="33"/>
      <w:bookmarkEnd w:id="34"/>
      <w:bookmarkEnd w:id="35"/>
      <w:bookmarkEnd w:id="36"/>
    </w:p>
    <w:p>
      <w:pPr>
        <w:pStyle w:val="24"/>
        <w:spacing w:line="360" w:lineRule="auto"/>
        <w:ind w:firstLine="480"/>
        <w:rPr>
          <w:rFonts w:ascii="Times New Roman" w:hAnsi="Times New Roman" w:eastAsia="宋体" w:cs="Times New Roman"/>
          <w:sz w:val="24"/>
          <w:szCs w:val="24"/>
        </w:rPr>
      </w:pPr>
      <w:r>
        <w:rPr>
          <w:rFonts w:ascii="Times New Roman" w:hAnsi="Times New Roman" w:eastAsia="宋体" w:cs="Times New Roman"/>
          <w:sz w:val="24"/>
          <w:szCs w:val="24"/>
        </w:rPr>
        <w:t>（1）投标供应商根据项目概况和建设需求，提出合理、高效、完整的网络技术方案，供采购人确定使用。方案应包括组网设计、使用的技术，保证专线可以正常互联。</w:t>
      </w:r>
    </w:p>
    <w:p>
      <w:pPr>
        <w:pStyle w:val="24"/>
        <w:spacing w:line="360" w:lineRule="auto"/>
        <w:ind w:firstLine="480"/>
        <w:rPr>
          <w:rFonts w:ascii="Times New Roman" w:hAnsi="Times New Roman" w:eastAsia="宋体" w:cs="Times New Roman"/>
          <w:sz w:val="24"/>
          <w:szCs w:val="24"/>
        </w:rPr>
      </w:pPr>
      <w:r>
        <w:rPr>
          <w:rFonts w:ascii="Times New Roman" w:hAnsi="Times New Roman" w:eastAsia="宋体" w:cs="Times New Roman"/>
          <w:sz w:val="24"/>
          <w:szCs w:val="24"/>
        </w:rPr>
        <w:t>（2）网络性能指标应符合《GBT21671-2008基于以太网技术的局域网系统验收测评规范》要求。</w:t>
      </w:r>
    </w:p>
    <w:p>
      <w:pPr>
        <w:pStyle w:val="24"/>
        <w:spacing w:line="360" w:lineRule="auto"/>
        <w:ind w:firstLine="480"/>
        <w:rPr>
          <w:rFonts w:ascii="Times New Roman" w:hAnsi="Times New Roman" w:eastAsia="宋体" w:cs="Times New Roman"/>
          <w:sz w:val="24"/>
          <w:szCs w:val="24"/>
        </w:rPr>
      </w:pPr>
      <w:r>
        <w:rPr>
          <w:rFonts w:ascii="Times New Roman" w:hAnsi="Times New Roman" w:eastAsia="宋体" w:cs="Times New Roman"/>
          <w:sz w:val="24"/>
          <w:szCs w:val="24"/>
        </w:rPr>
        <w:t>（3）本项目网络链路及应用系统租赁期为5年，租赁期满后，中标单位应保证网络链路及平台具备继续租赁的条件，续租方式另行约定，费用不得高于本次招标结果。</w:t>
      </w:r>
    </w:p>
    <w:p>
      <w:pPr>
        <w:pStyle w:val="24"/>
        <w:spacing w:line="360" w:lineRule="auto"/>
        <w:ind w:firstLine="480"/>
        <w:rPr>
          <w:rFonts w:ascii="Times New Roman" w:hAnsi="Times New Roman" w:eastAsia="宋体" w:cs="Times New Roman"/>
          <w:sz w:val="24"/>
          <w:szCs w:val="24"/>
        </w:rPr>
      </w:pPr>
      <w:r>
        <w:rPr>
          <w:rFonts w:ascii="Times New Roman" w:hAnsi="Times New Roman" w:eastAsia="宋体" w:cs="Times New Roman"/>
          <w:sz w:val="24"/>
          <w:szCs w:val="24"/>
        </w:rPr>
        <w:t>（4）本项目所需链路及应用系统应在中标后3个月内部署完成。链路及平台租赁费用以整个项目验收合格日期为时间节点进行记取。</w:t>
      </w:r>
    </w:p>
    <w:p>
      <w:pPr>
        <w:pStyle w:val="24"/>
        <w:spacing w:line="360" w:lineRule="auto"/>
        <w:ind w:firstLine="480"/>
        <w:rPr>
          <w:rFonts w:ascii="Times New Roman" w:hAnsi="Times New Roman" w:eastAsia="宋体" w:cs="Times New Roman"/>
          <w:sz w:val="24"/>
          <w:szCs w:val="24"/>
        </w:rPr>
      </w:pPr>
      <w:r>
        <w:rPr>
          <w:rFonts w:ascii="Times New Roman" w:hAnsi="Times New Roman" w:eastAsia="宋体" w:cs="Times New Roman"/>
          <w:sz w:val="24"/>
          <w:szCs w:val="24"/>
        </w:rPr>
        <w:t>（5）投标人针对本项目具有完整的网络运维服务体系，提供7×24小时障碍报修电话及专门服务的客户经理，投标人需要对链路进行定期巡检，每季度提供一份链路运行质量报告。在出现链路故障时，投标人应能够提供应急替代方案，保障网路通畅。因中标单位检修线路、设备搬迁、工程割接、网络及软件升级等可预见的原因影响采购方使用的，应至少提前72小时告知。</w:t>
      </w:r>
    </w:p>
    <w:p>
      <w:pPr>
        <w:pStyle w:val="24"/>
        <w:spacing w:line="360" w:lineRule="auto"/>
        <w:ind w:firstLine="480"/>
        <w:rPr>
          <w:rFonts w:ascii="Times New Roman" w:hAnsi="Times New Roman" w:eastAsia="宋体" w:cs="Times New Roman"/>
          <w:sz w:val="24"/>
          <w:szCs w:val="24"/>
        </w:rPr>
      </w:pPr>
      <w:r>
        <w:rPr>
          <w:rFonts w:ascii="Times New Roman" w:hAnsi="Times New Roman" w:eastAsia="宋体" w:cs="Times New Roman"/>
          <w:sz w:val="24"/>
          <w:szCs w:val="24"/>
        </w:rPr>
        <w:t>（6）中标人应根据采购人相关要求成立驻场服务机构，人员数量及构成应能满足采购人对系统运行的实际需要（不少于2名驻场专业技术服务人员）；提供网络规划、网络设备安装配置、网络故障排除、网络安全设备调试排错、系统软硬件维护等技术服务；根据建设单位相关要求成立7×24小时驻场服务机构，为保障系统能够按照设计目标正常运行，采购人有权要求投标人提供在招标文件要求之内尚未详尽的服务。</w:t>
      </w:r>
    </w:p>
    <w:p>
      <w:pPr>
        <w:pStyle w:val="24"/>
        <w:spacing w:line="360" w:lineRule="auto"/>
        <w:ind w:firstLine="480"/>
        <w:rPr>
          <w:rFonts w:ascii="Times New Roman" w:hAnsi="Times New Roman" w:eastAsia="宋体" w:cs="Times New Roman"/>
          <w:sz w:val="24"/>
          <w:szCs w:val="24"/>
        </w:rPr>
      </w:pPr>
      <w:r>
        <w:rPr>
          <w:rFonts w:ascii="Times New Roman" w:hAnsi="Times New Roman" w:eastAsia="宋体" w:cs="Times New Roman"/>
          <w:sz w:val="24"/>
          <w:szCs w:val="24"/>
        </w:rPr>
        <w:t>（7）线路租用期内非因采购人原因而出现的质量问题，中标单位负责承担线路故障处理产生的所有费用，并承担一切经济损失；中标单位应提供备件维护，确保备件的完好性，一旦发生设备、线路故障，能够在最短的时间内进行备件更换，及时恢复网络运行。</w:t>
      </w:r>
    </w:p>
    <w:p>
      <w:pPr>
        <w:pStyle w:val="24"/>
        <w:spacing w:line="360" w:lineRule="auto"/>
        <w:ind w:firstLine="480"/>
        <w:rPr>
          <w:rFonts w:ascii="Times New Roman" w:hAnsi="Times New Roman" w:eastAsia="宋体" w:cs="Times New Roman"/>
          <w:sz w:val="24"/>
          <w:szCs w:val="24"/>
        </w:rPr>
      </w:pPr>
      <w:r>
        <w:rPr>
          <w:rFonts w:ascii="Times New Roman" w:hAnsi="Times New Roman" w:eastAsia="宋体" w:cs="Times New Roman"/>
          <w:sz w:val="24"/>
          <w:szCs w:val="24"/>
        </w:rPr>
        <w:t>（8）成交供应商必须承诺保证网络的畅通，负责网络链路以及网络设备的免费运行维护和更新，如果网络出现问题，必须在接到故障申告后10分钟内给予回应，2个小时内到达现场，负责排除故障，直到网络恢复正常；障碍修复时限最长不得超过12小时（不可抗力及采购人责任除外）。</w:t>
      </w:r>
    </w:p>
    <w:p>
      <w:pPr>
        <w:pStyle w:val="24"/>
        <w:spacing w:line="360" w:lineRule="auto"/>
        <w:ind w:firstLine="480"/>
        <w:rPr>
          <w:rFonts w:ascii="Times New Roman" w:hAnsi="Times New Roman" w:eastAsia="宋体" w:cs="Times New Roman"/>
          <w:sz w:val="24"/>
          <w:szCs w:val="24"/>
        </w:rPr>
      </w:pPr>
      <w:r>
        <w:rPr>
          <w:rFonts w:ascii="Times New Roman" w:hAnsi="Times New Roman" w:eastAsia="宋体" w:cs="Times New Roman"/>
          <w:sz w:val="24"/>
          <w:szCs w:val="24"/>
        </w:rPr>
        <w:t>（9）电话支持服务：提供7×24小时电话技术指导和现场咨询服务。</w:t>
      </w:r>
    </w:p>
    <w:p>
      <w:pPr>
        <w:pStyle w:val="24"/>
        <w:spacing w:line="360" w:lineRule="auto"/>
        <w:ind w:firstLine="480"/>
        <w:rPr>
          <w:rFonts w:ascii="Times New Roman" w:hAnsi="Times New Roman" w:eastAsia="宋体" w:cs="Times New Roman"/>
          <w:sz w:val="24"/>
          <w:szCs w:val="24"/>
        </w:rPr>
      </w:pPr>
      <w:r>
        <w:rPr>
          <w:rFonts w:ascii="Times New Roman" w:hAnsi="Times New Roman" w:eastAsia="宋体" w:cs="Times New Roman"/>
          <w:sz w:val="24"/>
          <w:szCs w:val="24"/>
        </w:rPr>
        <w:t>（10）系统优化服务：根据巡检报告及用户需求提供优化方案，经建设单位认可后执行系统优化。</w:t>
      </w:r>
    </w:p>
    <w:p>
      <w:pPr>
        <w:pStyle w:val="24"/>
        <w:spacing w:line="360" w:lineRule="auto"/>
        <w:ind w:firstLine="480"/>
        <w:rPr>
          <w:rFonts w:ascii="Times New Roman" w:hAnsi="Times New Roman" w:eastAsia="宋体" w:cs="Times New Roman"/>
          <w:sz w:val="24"/>
          <w:szCs w:val="24"/>
        </w:rPr>
      </w:pPr>
      <w:r>
        <w:rPr>
          <w:rFonts w:ascii="Times New Roman" w:hAnsi="Times New Roman" w:eastAsia="宋体" w:cs="Times New Roman"/>
          <w:sz w:val="24"/>
          <w:szCs w:val="24"/>
        </w:rPr>
        <w:t>（11）技术培训服务：须提供一般工作人员的操作培训和技术人员的原厂技术培训，使其具备数字视频系统操作管理维护能力。培训应分类进行，包括技术员培训，操作员培训等。提供技术员网络、系统、安全、数据库等的培训服务，具体培训计划及时间、地点由双方商定。</w:t>
      </w:r>
    </w:p>
    <w:p>
      <w:pPr>
        <w:pStyle w:val="24"/>
        <w:spacing w:line="360" w:lineRule="auto"/>
        <w:ind w:firstLine="480"/>
        <w:rPr>
          <w:rFonts w:ascii="Times New Roman" w:hAnsi="Times New Roman" w:eastAsia="宋体" w:cs="Times New Roman"/>
          <w:sz w:val="24"/>
          <w:szCs w:val="24"/>
        </w:rPr>
      </w:pPr>
      <w:r>
        <w:rPr>
          <w:rFonts w:ascii="Times New Roman" w:hAnsi="Times New Roman" w:eastAsia="宋体" w:cs="Times New Roman"/>
          <w:sz w:val="24"/>
          <w:szCs w:val="24"/>
        </w:rPr>
        <w:t>（12）应急保障服务：特殊重大活动期间，按采购人要求提供现场保障服务。</w:t>
      </w:r>
    </w:p>
    <w:p>
      <w:pPr>
        <w:pStyle w:val="24"/>
        <w:spacing w:line="360" w:lineRule="auto"/>
        <w:ind w:firstLine="480"/>
        <w:rPr>
          <w:rFonts w:ascii="Times New Roman" w:hAnsi="Times New Roman" w:eastAsia="宋体" w:cs="Times New Roman"/>
          <w:sz w:val="24"/>
          <w:szCs w:val="24"/>
        </w:rPr>
      </w:pPr>
      <w:r>
        <w:rPr>
          <w:rFonts w:ascii="Times New Roman" w:hAnsi="Times New Roman" w:eastAsia="宋体" w:cs="Times New Roman"/>
          <w:sz w:val="24"/>
          <w:szCs w:val="24"/>
        </w:rPr>
        <w:t>（13）测试服务：根据采购人需求提供系统各项指标测试服务。</w:t>
      </w:r>
    </w:p>
    <w:p>
      <w:pPr>
        <w:pStyle w:val="24"/>
        <w:spacing w:line="360" w:lineRule="auto"/>
        <w:ind w:firstLine="480"/>
        <w:rPr>
          <w:rFonts w:ascii="Times New Roman" w:hAnsi="Times New Roman" w:eastAsia="宋体" w:cs="Times New Roman"/>
          <w:sz w:val="24"/>
          <w:szCs w:val="24"/>
        </w:rPr>
      </w:pPr>
      <w:r>
        <w:rPr>
          <w:rFonts w:ascii="Times New Roman" w:hAnsi="Times New Roman" w:eastAsia="宋体" w:cs="Times New Roman"/>
          <w:sz w:val="24"/>
          <w:szCs w:val="24"/>
        </w:rPr>
        <w:t>（14）本项目验收流程包括：试运行、竣工验收及审计。项目建设完工并经采购人认可后进行不低于个月的试运行期，试运行合格后进行项目的竣工验收及审计。</w:t>
      </w:r>
    </w:p>
    <w:p>
      <w:pPr>
        <w:pStyle w:val="24"/>
        <w:spacing w:line="360" w:lineRule="auto"/>
        <w:ind w:firstLine="480"/>
        <w:rPr>
          <w:rFonts w:ascii="Times New Roman" w:hAnsi="Times New Roman" w:eastAsia="宋体" w:cs="Times New Roman"/>
          <w:sz w:val="24"/>
          <w:szCs w:val="24"/>
        </w:rPr>
      </w:pPr>
    </w:p>
    <w:p>
      <w:pPr>
        <w:widowControl/>
        <w:autoSpaceDE w:val="0"/>
        <w:spacing w:before="120" w:beforeLines="50" w:after="120" w:afterLines="50" w:line="360" w:lineRule="auto"/>
        <w:jc w:val="left"/>
        <w:outlineLvl w:val="0"/>
        <w:rPr>
          <w:rFonts w:ascii="Times New Roman" w:hAnsi="Times New Roman" w:eastAsia="黑体" w:cs="Times New Roman"/>
          <w:kern w:val="0"/>
          <w:sz w:val="32"/>
          <w:szCs w:val="30"/>
        </w:rPr>
      </w:pPr>
      <w:bookmarkStart w:id="37" w:name="_Toc536694684"/>
      <w:bookmarkStart w:id="38" w:name="_Toc536694742"/>
      <w:bookmarkStart w:id="39" w:name="_Toc535150759"/>
      <w:bookmarkStart w:id="40" w:name="_Hlk521705238"/>
      <w:r>
        <w:rPr>
          <w:rFonts w:ascii="Times New Roman" w:hAnsi="Times New Roman" w:eastAsia="黑体" w:cs="Times New Roman"/>
          <w:kern w:val="0"/>
          <w:sz w:val="32"/>
          <w:szCs w:val="30"/>
        </w:rPr>
        <w:t>3、考核要求</w:t>
      </w:r>
      <w:bookmarkEnd w:id="37"/>
      <w:bookmarkEnd w:id="38"/>
      <w:bookmarkEnd w:id="39"/>
    </w:p>
    <w:p>
      <w:pPr>
        <w:pStyle w:val="3"/>
        <w:spacing w:before="120" w:beforeLines="50" w:after="120" w:afterLines="50" w:line="360" w:lineRule="auto"/>
        <w:rPr>
          <w:rFonts w:ascii="Times New Roman" w:hAnsi="Times New Roman" w:eastAsia="黑体" w:cs="Times New Roman"/>
          <w:b w:val="0"/>
          <w:sz w:val="30"/>
          <w:szCs w:val="30"/>
        </w:rPr>
      </w:pPr>
      <w:bookmarkStart w:id="41" w:name="_Toc536694685"/>
      <w:bookmarkStart w:id="42" w:name="_Toc536694743"/>
      <w:bookmarkStart w:id="43" w:name="_Toc535150760"/>
      <w:r>
        <w:rPr>
          <w:rFonts w:ascii="Times New Roman" w:hAnsi="Times New Roman" w:eastAsia="黑体" w:cs="Times New Roman"/>
          <w:b w:val="0"/>
          <w:sz w:val="30"/>
          <w:szCs w:val="30"/>
        </w:rPr>
        <w:t>3.1、网络链路考核</w:t>
      </w:r>
      <w:bookmarkEnd w:id="41"/>
      <w:bookmarkEnd w:id="42"/>
      <w:bookmarkEnd w:id="43"/>
    </w:p>
    <w:p>
      <w:pPr>
        <w:pStyle w:val="24"/>
        <w:spacing w:line="360" w:lineRule="auto"/>
        <w:ind w:firstLine="482"/>
        <w:rPr>
          <w:rFonts w:ascii="Times New Roman" w:hAnsi="Times New Roman" w:eastAsia="宋体" w:cs="Times New Roman"/>
          <w:b/>
          <w:sz w:val="24"/>
          <w:szCs w:val="24"/>
        </w:rPr>
      </w:pPr>
      <w:r>
        <w:rPr>
          <w:rFonts w:ascii="Times New Roman" w:hAnsi="Times New Roman" w:eastAsia="宋体" w:cs="Times New Roman"/>
          <w:b/>
          <w:sz w:val="24"/>
          <w:szCs w:val="24"/>
        </w:rPr>
        <w:t>（1）工作目标</w:t>
      </w:r>
    </w:p>
    <w:p>
      <w:pPr>
        <w:pStyle w:val="24"/>
        <w:spacing w:line="360" w:lineRule="auto"/>
        <w:ind w:firstLine="480"/>
        <w:rPr>
          <w:rFonts w:ascii="Times New Roman" w:hAnsi="Times New Roman" w:eastAsia="宋体" w:cs="Times New Roman"/>
          <w:sz w:val="24"/>
          <w:szCs w:val="24"/>
        </w:rPr>
      </w:pPr>
      <w:r>
        <w:rPr>
          <w:rFonts w:ascii="Times New Roman" w:hAnsi="Times New Roman" w:eastAsia="宋体" w:cs="Times New Roman"/>
          <w:sz w:val="24"/>
          <w:szCs w:val="24"/>
        </w:rPr>
        <w:t>供应商应保障</w:t>
      </w:r>
      <w:r>
        <w:rPr>
          <w:rFonts w:ascii="Times New Roman" w:hAnsi="Times New Roman" w:eastAsia="宋体" w:cs="Times New Roman"/>
          <w:sz w:val="24"/>
        </w:rPr>
        <w:t>前端接入</w:t>
      </w:r>
      <w:r>
        <w:rPr>
          <w:rFonts w:ascii="Times New Roman" w:hAnsi="Times New Roman" w:eastAsia="宋体" w:cs="Times New Roman"/>
          <w:sz w:val="24"/>
          <w:szCs w:val="24"/>
        </w:rPr>
        <w:t>链路运行。</w:t>
      </w:r>
    </w:p>
    <w:p>
      <w:pPr>
        <w:pStyle w:val="24"/>
        <w:spacing w:line="360" w:lineRule="auto"/>
        <w:ind w:firstLine="480"/>
        <w:rPr>
          <w:rFonts w:ascii="Times New Roman" w:hAnsi="Times New Roman" w:eastAsia="宋体" w:cs="Times New Roman"/>
          <w:sz w:val="24"/>
          <w:szCs w:val="24"/>
        </w:rPr>
      </w:pPr>
      <w:r>
        <w:rPr>
          <w:rFonts w:ascii="Times New Roman" w:hAnsi="Times New Roman" w:eastAsia="宋体" w:cs="Times New Roman"/>
          <w:sz w:val="24"/>
          <w:szCs w:val="24"/>
        </w:rPr>
        <w:t>供应商需为其他单位因工程建设维护需要进入机房提供便利，不得以任何不正当理由拒绝。</w:t>
      </w:r>
    </w:p>
    <w:p>
      <w:pPr>
        <w:pStyle w:val="24"/>
        <w:spacing w:line="360" w:lineRule="auto"/>
        <w:ind w:firstLine="482"/>
        <w:rPr>
          <w:rFonts w:ascii="Times New Roman" w:hAnsi="Times New Roman" w:eastAsia="宋体" w:cs="Times New Roman"/>
          <w:b/>
          <w:sz w:val="24"/>
          <w:szCs w:val="24"/>
        </w:rPr>
      </w:pPr>
      <w:r>
        <w:rPr>
          <w:rFonts w:ascii="Times New Roman" w:hAnsi="Times New Roman" w:eastAsia="宋体" w:cs="Times New Roman"/>
          <w:b/>
          <w:sz w:val="24"/>
          <w:szCs w:val="24"/>
        </w:rPr>
        <w:t>（2）考核要求</w:t>
      </w:r>
    </w:p>
    <w:p>
      <w:pPr>
        <w:pStyle w:val="24"/>
        <w:spacing w:line="360" w:lineRule="auto"/>
        <w:ind w:firstLine="480"/>
        <w:rPr>
          <w:rFonts w:ascii="Times New Roman" w:hAnsi="Times New Roman" w:eastAsia="宋体" w:cs="Times New Roman"/>
          <w:sz w:val="24"/>
          <w:szCs w:val="24"/>
        </w:rPr>
      </w:pPr>
      <w:r>
        <w:rPr>
          <w:rFonts w:ascii="Times New Roman" w:hAnsi="Times New Roman" w:eastAsia="宋体" w:cs="Times New Roman"/>
          <w:sz w:val="24"/>
          <w:szCs w:val="24"/>
        </w:rPr>
        <w:t>网络链路考核指对</w:t>
      </w:r>
      <w:r>
        <w:rPr>
          <w:rFonts w:ascii="Times New Roman" w:hAnsi="Times New Roman" w:eastAsia="宋体" w:cs="Times New Roman"/>
          <w:sz w:val="24"/>
        </w:rPr>
        <w:t>前端接入</w:t>
      </w:r>
      <w:r>
        <w:rPr>
          <w:rFonts w:ascii="Times New Roman" w:hAnsi="Times New Roman" w:eastAsia="宋体" w:cs="Times New Roman"/>
          <w:sz w:val="24"/>
          <w:szCs w:val="24"/>
        </w:rPr>
        <w:t>链路的考核。具体考核要求如下：</w:t>
      </w:r>
    </w:p>
    <w:tbl>
      <w:tblPr>
        <w:tblStyle w:val="16"/>
        <w:tblW w:w="83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8"/>
        <w:gridCol w:w="1528"/>
        <w:gridCol w:w="4388"/>
        <w:gridCol w:w="10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0" w:hRule="atLeast"/>
        </w:trPr>
        <w:tc>
          <w:tcPr>
            <w:tcW w:w="1308" w:type="dxa"/>
            <w:tcBorders>
              <w:top w:val="single" w:color="auto" w:sz="4" w:space="0"/>
              <w:left w:val="single" w:color="auto" w:sz="4" w:space="0"/>
              <w:bottom w:val="single" w:color="auto" w:sz="4" w:space="0"/>
              <w:right w:val="single" w:color="auto" w:sz="4" w:space="0"/>
            </w:tcBorders>
            <w:vAlign w:val="center"/>
          </w:tcPr>
          <w:p>
            <w:pPr>
              <w:spacing w:line="300" w:lineRule="auto"/>
              <w:jc w:val="center"/>
              <w:rPr>
                <w:rFonts w:ascii="Times New Roman" w:hAnsi="Times New Roman" w:eastAsia="宋体" w:cs="Times New Roman"/>
                <w:b/>
                <w:bCs/>
                <w:kern w:val="0"/>
                <w:szCs w:val="21"/>
              </w:rPr>
            </w:pPr>
            <w:r>
              <w:rPr>
                <w:rFonts w:ascii="Times New Roman" w:hAnsi="Times New Roman" w:eastAsia="宋体" w:cs="Times New Roman"/>
                <w:b/>
                <w:bCs/>
                <w:kern w:val="0"/>
                <w:szCs w:val="21"/>
              </w:rPr>
              <w:t>考核名称</w:t>
            </w:r>
          </w:p>
        </w:tc>
        <w:tc>
          <w:tcPr>
            <w:tcW w:w="1528" w:type="dxa"/>
            <w:tcBorders>
              <w:top w:val="single" w:color="auto" w:sz="4" w:space="0"/>
              <w:left w:val="single" w:color="auto" w:sz="4" w:space="0"/>
              <w:bottom w:val="single" w:color="auto" w:sz="4" w:space="0"/>
              <w:right w:val="single" w:color="auto" w:sz="4" w:space="0"/>
            </w:tcBorders>
            <w:vAlign w:val="center"/>
          </w:tcPr>
          <w:p>
            <w:pPr>
              <w:spacing w:line="300" w:lineRule="auto"/>
              <w:jc w:val="center"/>
              <w:rPr>
                <w:rFonts w:ascii="Times New Roman" w:hAnsi="Times New Roman" w:eastAsia="宋体" w:cs="Times New Roman"/>
                <w:b/>
                <w:bCs/>
                <w:kern w:val="0"/>
                <w:szCs w:val="21"/>
              </w:rPr>
            </w:pPr>
            <w:r>
              <w:rPr>
                <w:rFonts w:ascii="Times New Roman" w:hAnsi="Times New Roman" w:eastAsia="宋体" w:cs="Times New Roman"/>
                <w:b/>
                <w:bCs/>
                <w:kern w:val="0"/>
                <w:szCs w:val="21"/>
              </w:rPr>
              <w:t>考核内容说明</w:t>
            </w:r>
          </w:p>
        </w:tc>
        <w:tc>
          <w:tcPr>
            <w:tcW w:w="4388" w:type="dxa"/>
            <w:tcBorders>
              <w:top w:val="single" w:color="auto" w:sz="4" w:space="0"/>
              <w:left w:val="single" w:color="auto" w:sz="4" w:space="0"/>
              <w:bottom w:val="single" w:color="auto" w:sz="4" w:space="0"/>
              <w:right w:val="single" w:color="auto" w:sz="4" w:space="0"/>
            </w:tcBorders>
            <w:vAlign w:val="center"/>
          </w:tcPr>
          <w:p>
            <w:pPr>
              <w:spacing w:line="300" w:lineRule="auto"/>
              <w:jc w:val="center"/>
              <w:rPr>
                <w:rFonts w:ascii="Times New Roman" w:hAnsi="Times New Roman" w:eastAsia="宋体" w:cs="Times New Roman"/>
                <w:b/>
                <w:bCs/>
                <w:kern w:val="0"/>
                <w:szCs w:val="21"/>
              </w:rPr>
            </w:pPr>
            <w:r>
              <w:rPr>
                <w:rFonts w:ascii="Times New Roman" w:hAnsi="Times New Roman" w:eastAsia="宋体" w:cs="Times New Roman"/>
                <w:b/>
                <w:bCs/>
                <w:kern w:val="0"/>
                <w:szCs w:val="21"/>
              </w:rPr>
              <w:t>扣款标准</w:t>
            </w:r>
          </w:p>
        </w:tc>
        <w:tc>
          <w:tcPr>
            <w:tcW w:w="1078" w:type="dxa"/>
            <w:tcBorders>
              <w:top w:val="single" w:color="auto" w:sz="4" w:space="0"/>
              <w:left w:val="single" w:color="auto" w:sz="4" w:space="0"/>
              <w:bottom w:val="single" w:color="auto" w:sz="4" w:space="0"/>
              <w:right w:val="single" w:color="auto" w:sz="4" w:space="0"/>
            </w:tcBorders>
            <w:vAlign w:val="center"/>
          </w:tcPr>
          <w:p>
            <w:pPr>
              <w:spacing w:line="300" w:lineRule="auto"/>
              <w:jc w:val="center"/>
              <w:rPr>
                <w:rFonts w:ascii="Times New Roman" w:hAnsi="Times New Roman" w:eastAsia="宋体" w:cs="Times New Roman"/>
                <w:b/>
                <w:bCs/>
                <w:kern w:val="0"/>
                <w:szCs w:val="21"/>
              </w:rPr>
            </w:pPr>
            <w:r>
              <w:rPr>
                <w:rFonts w:ascii="Times New Roman" w:hAnsi="Times New Roman" w:eastAsia="宋体" w:cs="Times New Roman"/>
                <w:b/>
                <w:bCs/>
                <w:kern w:val="0"/>
                <w:szCs w:val="21"/>
              </w:rPr>
              <w:t xml:space="preserve">考核周期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66" w:hRule="atLeast"/>
        </w:trPr>
        <w:tc>
          <w:tcPr>
            <w:tcW w:w="1308" w:type="dxa"/>
            <w:tcBorders>
              <w:top w:val="single" w:color="auto" w:sz="4" w:space="0"/>
              <w:left w:val="single" w:color="auto" w:sz="4" w:space="0"/>
              <w:bottom w:val="single" w:color="auto" w:sz="4" w:space="0"/>
              <w:right w:val="single" w:color="auto" w:sz="4" w:space="0"/>
            </w:tcBorders>
            <w:vAlign w:val="center"/>
          </w:tcPr>
          <w:p>
            <w:pPr>
              <w:spacing w:line="300" w:lineRule="auto"/>
              <w:jc w:val="center"/>
              <w:rPr>
                <w:rFonts w:ascii="Times New Roman" w:hAnsi="Times New Roman" w:eastAsia="宋体" w:cs="Times New Roman"/>
                <w:kern w:val="0"/>
                <w:szCs w:val="21"/>
              </w:rPr>
            </w:pPr>
            <w:r>
              <w:rPr>
                <w:rFonts w:ascii="Times New Roman" w:hAnsi="Times New Roman" w:eastAsia="宋体" w:cs="Times New Roman"/>
                <w:kern w:val="0"/>
                <w:szCs w:val="21"/>
              </w:rPr>
              <w:t>网络链路</w:t>
            </w:r>
          </w:p>
        </w:tc>
        <w:tc>
          <w:tcPr>
            <w:tcW w:w="1528" w:type="dxa"/>
            <w:tcBorders>
              <w:top w:val="single" w:color="auto" w:sz="4" w:space="0"/>
              <w:left w:val="single" w:color="auto" w:sz="4" w:space="0"/>
              <w:bottom w:val="single" w:color="auto" w:sz="4" w:space="0"/>
              <w:right w:val="single" w:color="auto" w:sz="4" w:space="0"/>
            </w:tcBorders>
            <w:vAlign w:val="center"/>
          </w:tcPr>
          <w:p>
            <w:pPr>
              <w:spacing w:line="300" w:lineRule="auto"/>
              <w:jc w:val="left"/>
              <w:rPr>
                <w:rFonts w:ascii="Times New Roman" w:hAnsi="Times New Roman" w:eastAsia="宋体" w:cs="Times New Roman"/>
                <w:kern w:val="0"/>
                <w:szCs w:val="21"/>
              </w:rPr>
            </w:pPr>
            <w:r>
              <w:rPr>
                <w:rFonts w:ascii="Times New Roman" w:hAnsi="Times New Roman" w:eastAsia="宋体" w:cs="Times New Roman"/>
                <w:szCs w:val="21"/>
              </w:rPr>
              <w:t>前端接入链路</w:t>
            </w:r>
            <w:r>
              <w:rPr>
                <w:rFonts w:ascii="Times New Roman" w:hAnsi="Times New Roman" w:eastAsia="宋体" w:cs="Times New Roman"/>
                <w:kern w:val="0"/>
                <w:szCs w:val="21"/>
              </w:rPr>
              <w:t>中断</w:t>
            </w:r>
          </w:p>
        </w:tc>
        <w:tc>
          <w:tcPr>
            <w:tcW w:w="4388" w:type="dxa"/>
            <w:tcBorders>
              <w:top w:val="single" w:color="auto" w:sz="4" w:space="0"/>
              <w:left w:val="single" w:color="auto" w:sz="4" w:space="0"/>
              <w:bottom w:val="single" w:color="auto" w:sz="4" w:space="0"/>
              <w:right w:val="single" w:color="auto" w:sz="4" w:space="0"/>
            </w:tcBorders>
            <w:vAlign w:val="center"/>
          </w:tcPr>
          <w:p>
            <w:pPr>
              <w:spacing w:line="300" w:lineRule="auto"/>
              <w:jc w:val="left"/>
              <w:rPr>
                <w:rFonts w:ascii="Times New Roman" w:hAnsi="Times New Roman" w:eastAsia="宋体" w:cs="Times New Roman"/>
                <w:kern w:val="0"/>
                <w:szCs w:val="21"/>
              </w:rPr>
            </w:pPr>
            <w:r>
              <w:rPr>
                <w:rFonts w:ascii="Times New Roman" w:hAnsi="Times New Roman" w:eastAsia="宋体" w:cs="Times New Roman"/>
                <w:szCs w:val="21"/>
              </w:rPr>
              <w:t>前端接入链路</w:t>
            </w:r>
            <w:r>
              <w:rPr>
                <w:rFonts w:ascii="Times New Roman" w:hAnsi="Times New Roman" w:eastAsia="宋体" w:cs="Times New Roman"/>
                <w:kern w:val="0"/>
                <w:szCs w:val="21"/>
              </w:rPr>
              <w:t>中断且影响使用的，超过2小时的，扣除当月租费，超过12小时按照50元/小时累计扣款，不足1小时按照1小时扣款。</w:t>
            </w:r>
          </w:p>
        </w:tc>
        <w:tc>
          <w:tcPr>
            <w:tcW w:w="1078" w:type="dxa"/>
            <w:tcBorders>
              <w:top w:val="single" w:color="auto" w:sz="4" w:space="0"/>
              <w:left w:val="single" w:color="auto" w:sz="4" w:space="0"/>
              <w:bottom w:val="single" w:color="auto" w:sz="4" w:space="0"/>
              <w:right w:val="single" w:color="auto" w:sz="4" w:space="0"/>
            </w:tcBorders>
            <w:vAlign w:val="center"/>
          </w:tcPr>
          <w:p>
            <w:pPr>
              <w:spacing w:line="300" w:lineRule="auto"/>
              <w:jc w:val="center"/>
              <w:rPr>
                <w:rFonts w:ascii="Times New Roman" w:hAnsi="Times New Roman" w:eastAsia="宋体" w:cs="Times New Roman"/>
                <w:kern w:val="0"/>
                <w:szCs w:val="21"/>
              </w:rPr>
            </w:pPr>
            <w:r>
              <w:rPr>
                <w:rFonts w:ascii="Times New Roman" w:hAnsi="Times New Roman" w:eastAsia="宋体" w:cs="Times New Roman"/>
                <w:kern w:val="0"/>
                <w:szCs w:val="21"/>
              </w:rPr>
              <w:t>月度</w:t>
            </w:r>
          </w:p>
        </w:tc>
      </w:tr>
    </w:tbl>
    <w:p>
      <w:pPr>
        <w:pStyle w:val="24"/>
        <w:spacing w:before="120" w:beforeLines="50" w:line="360" w:lineRule="auto"/>
        <w:ind w:firstLine="480"/>
        <w:rPr>
          <w:rFonts w:ascii="Times New Roman" w:hAnsi="Times New Roman" w:eastAsia="宋体" w:cs="Times New Roman"/>
          <w:sz w:val="24"/>
          <w:szCs w:val="24"/>
        </w:rPr>
      </w:pPr>
      <w:r>
        <w:rPr>
          <w:rFonts w:ascii="Times New Roman" w:hAnsi="Times New Roman" w:eastAsia="宋体" w:cs="Times New Roman"/>
          <w:sz w:val="24"/>
          <w:szCs w:val="24"/>
        </w:rPr>
        <w:t>因市政建设、道路改造、非供应商原因等客观因素造成链路中断的不在考核范围内。但因客观原因导致链路中断的，供应商应于24小时内搭建新的链路，超过24小时未恢复的，按照上述办法进行考核。</w:t>
      </w:r>
    </w:p>
    <w:p>
      <w:pPr>
        <w:pStyle w:val="3"/>
        <w:spacing w:before="120" w:beforeLines="50" w:after="120" w:afterLines="50" w:line="360" w:lineRule="auto"/>
        <w:rPr>
          <w:rFonts w:ascii="Times New Roman" w:hAnsi="Times New Roman" w:eastAsia="黑体" w:cs="Times New Roman"/>
          <w:b w:val="0"/>
          <w:sz w:val="30"/>
          <w:szCs w:val="30"/>
        </w:rPr>
      </w:pPr>
      <w:bookmarkStart w:id="44" w:name="_Toc535150761"/>
      <w:bookmarkStart w:id="45" w:name="_Toc536694744"/>
      <w:bookmarkStart w:id="46" w:name="_Toc536694686"/>
      <w:r>
        <w:rPr>
          <w:rFonts w:ascii="Times New Roman" w:hAnsi="Times New Roman" w:eastAsia="黑体" w:cs="Times New Roman"/>
          <w:b w:val="0"/>
          <w:sz w:val="30"/>
          <w:szCs w:val="30"/>
        </w:rPr>
        <w:t>3.2、</w:t>
      </w:r>
      <w:bookmarkEnd w:id="44"/>
      <w:r>
        <w:rPr>
          <w:rFonts w:ascii="Times New Roman" w:hAnsi="Times New Roman" w:eastAsia="黑体" w:cs="Times New Roman"/>
          <w:b w:val="0"/>
          <w:sz w:val="30"/>
          <w:szCs w:val="30"/>
        </w:rPr>
        <w:t>社会治理物联网交互应用系统考核</w:t>
      </w:r>
      <w:bookmarkEnd w:id="45"/>
      <w:bookmarkEnd w:id="46"/>
    </w:p>
    <w:bookmarkEnd w:id="40"/>
    <w:p>
      <w:pPr>
        <w:pStyle w:val="24"/>
        <w:spacing w:line="360" w:lineRule="auto"/>
        <w:ind w:firstLine="482"/>
        <w:rPr>
          <w:rFonts w:ascii="Times New Roman" w:hAnsi="Times New Roman" w:eastAsia="宋体" w:cs="Times New Roman"/>
          <w:b/>
          <w:sz w:val="24"/>
          <w:szCs w:val="24"/>
        </w:rPr>
      </w:pPr>
      <w:r>
        <w:rPr>
          <w:rFonts w:ascii="Times New Roman" w:hAnsi="Times New Roman" w:eastAsia="宋体" w:cs="Times New Roman"/>
          <w:b/>
          <w:sz w:val="24"/>
          <w:szCs w:val="24"/>
        </w:rPr>
        <w:t>（1）工作目标</w:t>
      </w:r>
    </w:p>
    <w:p>
      <w:pPr>
        <w:pStyle w:val="24"/>
        <w:spacing w:line="360" w:lineRule="auto"/>
        <w:ind w:firstLine="480"/>
        <w:rPr>
          <w:rFonts w:ascii="Times New Roman" w:hAnsi="Times New Roman" w:eastAsia="宋体" w:cs="Times New Roman"/>
          <w:sz w:val="24"/>
          <w:szCs w:val="24"/>
        </w:rPr>
      </w:pPr>
      <w:r>
        <w:rPr>
          <w:rFonts w:ascii="Times New Roman" w:hAnsi="Times New Roman" w:eastAsia="宋体" w:cs="Times New Roman"/>
          <w:sz w:val="24"/>
          <w:szCs w:val="24"/>
        </w:rPr>
        <w:t>根据项目建设需求推进社会资源整合工作，完成建设单位要求的社会资源整合需求联网接入工作。</w:t>
      </w:r>
    </w:p>
    <w:p>
      <w:pPr>
        <w:pStyle w:val="24"/>
        <w:spacing w:line="360" w:lineRule="auto"/>
        <w:ind w:firstLine="480"/>
        <w:rPr>
          <w:rFonts w:ascii="Times New Roman" w:hAnsi="Times New Roman" w:eastAsia="宋体" w:cs="Times New Roman"/>
          <w:sz w:val="24"/>
          <w:szCs w:val="24"/>
        </w:rPr>
      </w:pPr>
      <w:r>
        <w:rPr>
          <w:rFonts w:ascii="Times New Roman" w:hAnsi="Times New Roman" w:eastAsia="宋体" w:cs="Times New Roman"/>
          <w:sz w:val="24"/>
          <w:szCs w:val="24"/>
        </w:rPr>
        <w:t>中标人应保障社会治理物联网交互应用系统各项业务功能正常运行。根据双方协商一致的需求免费提供软件升级、版本更换和技术支持；保障社会治理物联网交互应用系统配套的硬件设备、运行环境、中间件及服务的正常运行。</w:t>
      </w:r>
    </w:p>
    <w:p>
      <w:pPr>
        <w:pStyle w:val="24"/>
        <w:spacing w:line="360" w:lineRule="auto"/>
        <w:ind w:firstLine="482"/>
        <w:rPr>
          <w:rFonts w:ascii="Times New Roman" w:hAnsi="Times New Roman" w:eastAsia="宋体" w:cs="Times New Roman"/>
          <w:b/>
          <w:sz w:val="24"/>
          <w:szCs w:val="24"/>
        </w:rPr>
      </w:pPr>
      <w:r>
        <w:rPr>
          <w:rFonts w:ascii="Times New Roman" w:hAnsi="Times New Roman" w:eastAsia="宋体" w:cs="Times New Roman"/>
          <w:b/>
          <w:sz w:val="24"/>
          <w:szCs w:val="24"/>
        </w:rPr>
        <w:t>（2）考核要求</w:t>
      </w:r>
    </w:p>
    <w:p>
      <w:pPr>
        <w:pStyle w:val="24"/>
        <w:spacing w:line="360" w:lineRule="auto"/>
        <w:ind w:firstLine="480"/>
        <w:rPr>
          <w:rFonts w:ascii="Times New Roman" w:hAnsi="Times New Roman" w:eastAsia="宋体" w:cs="Times New Roman"/>
          <w:sz w:val="24"/>
          <w:szCs w:val="24"/>
        </w:rPr>
      </w:pPr>
      <w:r>
        <w:rPr>
          <w:rFonts w:ascii="Times New Roman" w:hAnsi="Times New Roman" w:eastAsia="宋体" w:cs="Times New Roman"/>
          <w:sz w:val="24"/>
          <w:szCs w:val="24"/>
        </w:rPr>
        <w:t>非被整合方原因造成社会资源外域节点联通中断故障，未能按故障处理时限要求完成故障处理的进行考核扣款。</w:t>
      </w:r>
    </w:p>
    <w:p>
      <w:pPr>
        <w:pStyle w:val="24"/>
        <w:spacing w:line="360" w:lineRule="auto"/>
        <w:ind w:firstLine="480"/>
        <w:rPr>
          <w:rFonts w:ascii="Times New Roman" w:hAnsi="Times New Roman" w:eastAsia="宋体" w:cs="Times New Roman"/>
          <w:sz w:val="24"/>
          <w:szCs w:val="24"/>
        </w:rPr>
      </w:pPr>
      <w:r>
        <w:rPr>
          <w:rFonts w:ascii="Times New Roman" w:hAnsi="Times New Roman" w:eastAsia="宋体" w:cs="Times New Roman"/>
          <w:sz w:val="24"/>
          <w:szCs w:val="24"/>
        </w:rPr>
        <w:t>系统软件故障指故障由业务系统服务本身的故障，不包括用户客户端因素。故障修复约定时间为24小时。</w:t>
      </w:r>
    </w:p>
    <w:p>
      <w:pPr>
        <w:pStyle w:val="24"/>
        <w:spacing w:line="360" w:lineRule="auto"/>
        <w:ind w:firstLine="480"/>
        <w:rPr>
          <w:rFonts w:ascii="Times New Roman" w:hAnsi="Times New Roman" w:eastAsia="宋体" w:cs="Times New Roman"/>
          <w:sz w:val="24"/>
          <w:szCs w:val="24"/>
        </w:rPr>
      </w:pPr>
      <w:r>
        <w:rPr>
          <w:rFonts w:ascii="Times New Roman" w:hAnsi="Times New Roman" w:eastAsia="宋体" w:cs="Times New Roman"/>
          <w:sz w:val="24"/>
          <w:szCs w:val="24"/>
        </w:rPr>
        <w:t>具体考核要求如下：</w:t>
      </w:r>
    </w:p>
    <w:tbl>
      <w:tblPr>
        <w:tblStyle w:val="16"/>
        <w:tblW w:w="83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3"/>
        <w:gridCol w:w="6130"/>
        <w:gridCol w:w="7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5" w:hRule="atLeast"/>
          <w:tblHeader/>
        </w:trPr>
        <w:tc>
          <w:tcPr>
            <w:tcW w:w="1413" w:type="dxa"/>
            <w:tcBorders>
              <w:top w:val="single" w:color="auto" w:sz="4" w:space="0"/>
              <w:left w:val="single" w:color="auto" w:sz="4" w:space="0"/>
              <w:bottom w:val="single" w:color="auto" w:sz="4" w:space="0"/>
              <w:right w:val="single" w:color="auto" w:sz="4" w:space="0"/>
            </w:tcBorders>
            <w:vAlign w:val="center"/>
          </w:tcPr>
          <w:p>
            <w:pPr>
              <w:spacing w:line="300" w:lineRule="auto"/>
              <w:jc w:val="center"/>
              <w:rPr>
                <w:rFonts w:ascii="Times New Roman" w:hAnsi="Times New Roman" w:eastAsia="宋体" w:cs="Times New Roman"/>
                <w:b/>
                <w:bCs/>
                <w:kern w:val="0"/>
                <w:szCs w:val="21"/>
              </w:rPr>
            </w:pPr>
            <w:r>
              <w:rPr>
                <w:rFonts w:ascii="Times New Roman" w:hAnsi="Times New Roman" w:eastAsia="宋体" w:cs="Times New Roman"/>
                <w:b/>
                <w:bCs/>
                <w:kern w:val="0"/>
                <w:szCs w:val="21"/>
              </w:rPr>
              <w:t xml:space="preserve">考核名称 </w:t>
            </w:r>
          </w:p>
        </w:tc>
        <w:tc>
          <w:tcPr>
            <w:tcW w:w="6130" w:type="dxa"/>
            <w:tcBorders>
              <w:top w:val="single" w:color="auto" w:sz="4" w:space="0"/>
              <w:left w:val="single" w:color="auto" w:sz="4" w:space="0"/>
              <w:bottom w:val="single" w:color="auto" w:sz="4" w:space="0"/>
              <w:right w:val="single" w:color="auto" w:sz="4" w:space="0"/>
            </w:tcBorders>
            <w:vAlign w:val="center"/>
          </w:tcPr>
          <w:p>
            <w:pPr>
              <w:spacing w:line="300" w:lineRule="auto"/>
              <w:jc w:val="center"/>
              <w:rPr>
                <w:rFonts w:ascii="Times New Roman" w:hAnsi="Times New Roman" w:eastAsia="宋体" w:cs="Times New Roman"/>
                <w:b/>
                <w:bCs/>
                <w:kern w:val="0"/>
                <w:szCs w:val="21"/>
              </w:rPr>
            </w:pPr>
            <w:r>
              <w:rPr>
                <w:rFonts w:ascii="Times New Roman" w:hAnsi="Times New Roman" w:eastAsia="宋体" w:cs="Times New Roman"/>
                <w:b/>
                <w:bCs/>
                <w:kern w:val="0"/>
                <w:szCs w:val="21"/>
              </w:rPr>
              <w:t xml:space="preserve"> 考核内容及扣款标准</w:t>
            </w:r>
          </w:p>
        </w:tc>
        <w:tc>
          <w:tcPr>
            <w:tcW w:w="759" w:type="dxa"/>
            <w:tcBorders>
              <w:top w:val="single" w:color="auto" w:sz="4" w:space="0"/>
              <w:left w:val="single" w:color="auto" w:sz="4" w:space="0"/>
              <w:bottom w:val="single" w:color="auto" w:sz="4" w:space="0"/>
              <w:right w:val="single" w:color="auto" w:sz="4" w:space="0"/>
            </w:tcBorders>
            <w:vAlign w:val="center"/>
          </w:tcPr>
          <w:p>
            <w:pPr>
              <w:spacing w:line="300" w:lineRule="auto"/>
              <w:jc w:val="center"/>
              <w:rPr>
                <w:rFonts w:ascii="Times New Roman" w:hAnsi="Times New Roman" w:eastAsia="宋体" w:cs="Times New Roman"/>
                <w:b/>
                <w:bCs/>
                <w:kern w:val="0"/>
                <w:szCs w:val="21"/>
              </w:rPr>
            </w:pPr>
            <w:r>
              <w:rPr>
                <w:rFonts w:ascii="Times New Roman" w:hAnsi="Times New Roman" w:eastAsia="宋体" w:cs="Times New Roman"/>
                <w:b/>
                <w:bCs/>
                <w:kern w:val="0"/>
                <w:szCs w:val="21"/>
              </w:rPr>
              <w:t xml:space="preserve">考核周期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15" w:hRule="atLeast"/>
        </w:trPr>
        <w:tc>
          <w:tcPr>
            <w:tcW w:w="1413" w:type="dxa"/>
            <w:tcBorders>
              <w:top w:val="single" w:color="auto" w:sz="4" w:space="0"/>
              <w:left w:val="single" w:color="auto" w:sz="4" w:space="0"/>
              <w:bottom w:val="single" w:color="auto" w:sz="4" w:space="0"/>
              <w:right w:val="single" w:color="auto" w:sz="4" w:space="0"/>
            </w:tcBorders>
            <w:vAlign w:val="center"/>
          </w:tcPr>
          <w:p>
            <w:pPr>
              <w:spacing w:line="300" w:lineRule="auto"/>
              <w:jc w:val="left"/>
              <w:rPr>
                <w:rFonts w:ascii="Times New Roman" w:hAnsi="Times New Roman" w:eastAsia="宋体" w:cs="Times New Roman"/>
                <w:kern w:val="0"/>
                <w:szCs w:val="21"/>
              </w:rPr>
            </w:pPr>
            <w:r>
              <w:rPr>
                <w:rFonts w:ascii="Times New Roman" w:hAnsi="Times New Roman" w:eastAsia="宋体" w:cs="Times New Roman"/>
                <w:kern w:val="0"/>
                <w:szCs w:val="21"/>
              </w:rPr>
              <w:t>社会资源整合联通情况</w:t>
            </w:r>
          </w:p>
        </w:tc>
        <w:tc>
          <w:tcPr>
            <w:tcW w:w="6130" w:type="dxa"/>
            <w:tcBorders>
              <w:top w:val="single" w:color="auto" w:sz="4" w:space="0"/>
              <w:left w:val="single" w:color="auto" w:sz="4" w:space="0"/>
              <w:bottom w:val="single" w:color="auto" w:sz="4" w:space="0"/>
              <w:right w:val="single" w:color="auto" w:sz="4" w:space="0"/>
            </w:tcBorders>
            <w:vAlign w:val="center"/>
          </w:tcPr>
          <w:p>
            <w:pPr>
              <w:spacing w:line="300" w:lineRule="auto"/>
              <w:jc w:val="left"/>
              <w:rPr>
                <w:rFonts w:ascii="Times New Roman" w:hAnsi="Times New Roman" w:eastAsia="宋体" w:cs="Times New Roman"/>
                <w:kern w:val="0"/>
                <w:szCs w:val="21"/>
              </w:rPr>
            </w:pPr>
            <w:r>
              <w:rPr>
                <w:rFonts w:ascii="Times New Roman" w:hAnsi="Times New Roman" w:eastAsia="宋体" w:cs="Times New Roman"/>
                <w:kern w:val="0"/>
                <w:szCs w:val="21"/>
              </w:rPr>
              <w:t>非被整合方原因造成社会资源外域节点联通中断故障，自故障中断故障之日起2个工作日未能完成故障处理，扣款500元/天</w:t>
            </w:r>
          </w:p>
        </w:tc>
        <w:tc>
          <w:tcPr>
            <w:tcW w:w="759" w:type="dxa"/>
            <w:tcBorders>
              <w:top w:val="single" w:color="auto" w:sz="4" w:space="0"/>
              <w:left w:val="single" w:color="auto" w:sz="4" w:space="0"/>
              <w:bottom w:val="single" w:color="auto" w:sz="4" w:space="0"/>
              <w:right w:val="single" w:color="auto" w:sz="4" w:space="0"/>
            </w:tcBorders>
            <w:vAlign w:val="center"/>
          </w:tcPr>
          <w:p>
            <w:pPr>
              <w:spacing w:line="300" w:lineRule="auto"/>
              <w:jc w:val="left"/>
              <w:rPr>
                <w:rFonts w:ascii="Times New Roman" w:hAnsi="Times New Roman" w:eastAsia="宋体" w:cs="Times New Roman"/>
                <w:kern w:val="0"/>
                <w:szCs w:val="21"/>
              </w:rPr>
            </w:pPr>
            <w:r>
              <w:rPr>
                <w:rFonts w:ascii="Times New Roman" w:hAnsi="Times New Roman" w:eastAsia="宋体" w:cs="Times New Roman"/>
                <w:kern w:val="0"/>
                <w:szCs w:val="21"/>
              </w:rPr>
              <w:t>月度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6" w:hRule="atLeast"/>
        </w:trPr>
        <w:tc>
          <w:tcPr>
            <w:tcW w:w="1413" w:type="dxa"/>
            <w:tcBorders>
              <w:top w:val="single" w:color="auto" w:sz="4" w:space="0"/>
              <w:left w:val="single" w:color="auto" w:sz="4" w:space="0"/>
              <w:bottom w:val="single" w:color="auto" w:sz="4" w:space="0"/>
              <w:right w:val="single" w:color="auto" w:sz="4" w:space="0"/>
            </w:tcBorders>
            <w:vAlign w:val="center"/>
          </w:tcPr>
          <w:p>
            <w:pPr>
              <w:spacing w:line="300" w:lineRule="auto"/>
              <w:jc w:val="left"/>
              <w:rPr>
                <w:rFonts w:ascii="Times New Roman" w:hAnsi="Times New Roman" w:eastAsia="宋体" w:cs="Times New Roman"/>
                <w:kern w:val="0"/>
                <w:szCs w:val="21"/>
              </w:rPr>
            </w:pPr>
            <w:r>
              <w:rPr>
                <w:rFonts w:ascii="Times New Roman" w:hAnsi="Times New Roman" w:eastAsia="宋体" w:cs="Times New Roman"/>
                <w:kern w:val="0"/>
                <w:szCs w:val="21"/>
              </w:rPr>
              <w:t>系统软件</w:t>
            </w:r>
          </w:p>
        </w:tc>
        <w:tc>
          <w:tcPr>
            <w:tcW w:w="6130" w:type="dxa"/>
            <w:tcBorders>
              <w:top w:val="single" w:color="auto" w:sz="4" w:space="0"/>
              <w:left w:val="single" w:color="auto" w:sz="4" w:space="0"/>
              <w:bottom w:val="single" w:color="auto" w:sz="4" w:space="0"/>
              <w:right w:val="single" w:color="auto" w:sz="4" w:space="0"/>
            </w:tcBorders>
            <w:vAlign w:val="center"/>
          </w:tcPr>
          <w:p>
            <w:pPr>
              <w:spacing w:line="300" w:lineRule="auto"/>
              <w:jc w:val="left"/>
              <w:rPr>
                <w:rFonts w:ascii="Times New Roman" w:hAnsi="Times New Roman" w:eastAsia="宋体" w:cs="Times New Roman"/>
                <w:kern w:val="0"/>
                <w:szCs w:val="21"/>
              </w:rPr>
            </w:pPr>
            <w:r>
              <w:rPr>
                <w:rFonts w:ascii="Times New Roman" w:hAnsi="Times New Roman" w:eastAsia="宋体" w:cs="Times New Roman"/>
                <w:kern w:val="0"/>
                <w:szCs w:val="21"/>
              </w:rPr>
              <w:t>1、当月系统故障确定由系统本身服务造成，影响业务使用的，考核如下：</w:t>
            </w:r>
          </w:p>
          <w:p>
            <w:pPr>
              <w:spacing w:line="300" w:lineRule="auto"/>
              <w:jc w:val="left"/>
              <w:rPr>
                <w:rFonts w:ascii="Times New Roman" w:hAnsi="Times New Roman" w:eastAsia="宋体" w:cs="Times New Roman"/>
                <w:kern w:val="0"/>
                <w:szCs w:val="21"/>
              </w:rPr>
            </w:pPr>
            <w:r>
              <w:rPr>
                <w:rFonts w:ascii="Times New Roman" w:hAnsi="Times New Roman" w:eastAsia="宋体" w:cs="Times New Roman"/>
                <w:kern w:val="0"/>
                <w:szCs w:val="21"/>
              </w:rPr>
              <w:t>故障修复时间超出48小时，每次扣除当月扣款基数的10%；</w:t>
            </w:r>
          </w:p>
          <w:p>
            <w:pPr>
              <w:spacing w:line="300" w:lineRule="auto"/>
              <w:jc w:val="left"/>
              <w:rPr>
                <w:rFonts w:ascii="Times New Roman" w:hAnsi="Times New Roman" w:eastAsia="宋体" w:cs="Times New Roman"/>
                <w:kern w:val="0"/>
                <w:szCs w:val="21"/>
              </w:rPr>
            </w:pPr>
            <w:r>
              <w:rPr>
                <w:rFonts w:ascii="Times New Roman" w:hAnsi="Times New Roman" w:eastAsia="宋体" w:cs="Times New Roman"/>
                <w:kern w:val="0"/>
                <w:szCs w:val="21"/>
              </w:rPr>
              <w:t>故障修复时间在36-48小时内，每次扣除当月扣款基数的2%；</w:t>
            </w:r>
          </w:p>
          <w:p>
            <w:pPr>
              <w:spacing w:line="300" w:lineRule="auto"/>
              <w:jc w:val="left"/>
              <w:rPr>
                <w:rFonts w:ascii="Times New Roman" w:hAnsi="Times New Roman" w:eastAsia="宋体" w:cs="Times New Roman"/>
                <w:kern w:val="0"/>
                <w:szCs w:val="21"/>
              </w:rPr>
            </w:pPr>
            <w:r>
              <w:rPr>
                <w:rFonts w:ascii="Times New Roman" w:hAnsi="Times New Roman" w:eastAsia="宋体" w:cs="Times New Roman"/>
                <w:kern w:val="0"/>
                <w:szCs w:val="21"/>
              </w:rPr>
              <w:t>故障修复时间在24-36小时内，每次扣除当月扣款基数的1%；</w:t>
            </w:r>
          </w:p>
          <w:p>
            <w:pPr>
              <w:spacing w:line="300" w:lineRule="auto"/>
              <w:jc w:val="left"/>
              <w:rPr>
                <w:rFonts w:ascii="Times New Roman" w:hAnsi="Times New Roman" w:eastAsia="宋体" w:cs="Times New Roman"/>
                <w:kern w:val="0"/>
                <w:szCs w:val="21"/>
              </w:rPr>
            </w:pPr>
            <w:r>
              <w:rPr>
                <w:rFonts w:ascii="Times New Roman" w:hAnsi="Times New Roman" w:eastAsia="宋体" w:cs="Times New Roman"/>
                <w:kern w:val="0"/>
                <w:szCs w:val="21"/>
              </w:rPr>
              <w:t>2、当月系统故障确定由系统本身服务造成，出现次数超过3次，均未在24小时内修复的，扣除当月扣款基数的50%。</w:t>
            </w:r>
          </w:p>
          <w:p>
            <w:pPr>
              <w:spacing w:line="300" w:lineRule="auto"/>
              <w:jc w:val="left"/>
              <w:rPr>
                <w:rFonts w:ascii="Times New Roman" w:hAnsi="Times New Roman" w:eastAsia="宋体" w:cs="Times New Roman"/>
                <w:kern w:val="0"/>
                <w:szCs w:val="21"/>
              </w:rPr>
            </w:pPr>
            <w:r>
              <w:rPr>
                <w:rFonts w:ascii="Times New Roman" w:hAnsi="Times New Roman" w:eastAsia="宋体" w:cs="Times New Roman"/>
                <w:kern w:val="0"/>
                <w:szCs w:val="21"/>
              </w:rPr>
              <w:t>3、当月系统故障确定由系统本身服务造成，出现次数超过5次，扣除当月扣款基数的50%。</w:t>
            </w:r>
          </w:p>
        </w:tc>
        <w:tc>
          <w:tcPr>
            <w:tcW w:w="759" w:type="dxa"/>
            <w:tcBorders>
              <w:top w:val="single" w:color="auto" w:sz="4" w:space="0"/>
              <w:left w:val="single" w:color="auto" w:sz="4" w:space="0"/>
              <w:bottom w:val="single" w:color="auto" w:sz="4" w:space="0"/>
              <w:right w:val="single" w:color="auto" w:sz="4" w:space="0"/>
            </w:tcBorders>
            <w:vAlign w:val="center"/>
          </w:tcPr>
          <w:p>
            <w:pPr>
              <w:spacing w:line="300" w:lineRule="auto"/>
              <w:jc w:val="left"/>
              <w:rPr>
                <w:rFonts w:ascii="Times New Roman" w:hAnsi="Times New Roman" w:eastAsia="宋体" w:cs="Times New Roman"/>
                <w:kern w:val="0"/>
                <w:szCs w:val="21"/>
              </w:rPr>
            </w:pPr>
            <w:r>
              <w:rPr>
                <w:rFonts w:ascii="Times New Roman" w:hAnsi="Times New Roman" w:eastAsia="宋体" w:cs="Times New Roman"/>
                <w:kern w:val="0"/>
                <w:szCs w:val="21"/>
              </w:rPr>
              <w:t>月度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13" w:hRule="atLeast"/>
        </w:trPr>
        <w:tc>
          <w:tcPr>
            <w:tcW w:w="1413" w:type="dxa"/>
            <w:tcBorders>
              <w:top w:val="single" w:color="auto" w:sz="4" w:space="0"/>
              <w:left w:val="single" w:color="auto" w:sz="4" w:space="0"/>
              <w:bottom w:val="single" w:color="auto" w:sz="4" w:space="0"/>
              <w:right w:val="single" w:color="auto" w:sz="4" w:space="0"/>
            </w:tcBorders>
            <w:vAlign w:val="center"/>
          </w:tcPr>
          <w:p>
            <w:pPr>
              <w:spacing w:line="300" w:lineRule="auto"/>
              <w:jc w:val="left"/>
              <w:rPr>
                <w:rFonts w:ascii="Times New Roman" w:hAnsi="Times New Roman" w:eastAsia="宋体" w:cs="Times New Roman"/>
                <w:kern w:val="0"/>
                <w:szCs w:val="21"/>
              </w:rPr>
            </w:pPr>
            <w:r>
              <w:rPr>
                <w:rFonts w:ascii="Times New Roman" w:hAnsi="Times New Roman" w:eastAsia="宋体" w:cs="Times New Roman"/>
                <w:kern w:val="0"/>
                <w:szCs w:val="21"/>
              </w:rPr>
              <w:t>系统硬件</w:t>
            </w:r>
          </w:p>
        </w:tc>
        <w:tc>
          <w:tcPr>
            <w:tcW w:w="6130" w:type="dxa"/>
            <w:tcBorders>
              <w:top w:val="single" w:color="auto" w:sz="4" w:space="0"/>
              <w:left w:val="single" w:color="auto" w:sz="4" w:space="0"/>
              <w:bottom w:val="single" w:color="auto" w:sz="4" w:space="0"/>
              <w:right w:val="single" w:color="auto" w:sz="4" w:space="0"/>
            </w:tcBorders>
            <w:vAlign w:val="center"/>
          </w:tcPr>
          <w:p>
            <w:pPr>
              <w:spacing w:line="300" w:lineRule="auto"/>
              <w:jc w:val="left"/>
              <w:rPr>
                <w:rFonts w:ascii="Times New Roman" w:hAnsi="Times New Roman" w:eastAsia="宋体" w:cs="Times New Roman"/>
                <w:kern w:val="0"/>
                <w:szCs w:val="21"/>
              </w:rPr>
            </w:pPr>
            <w:r>
              <w:rPr>
                <w:rFonts w:ascii="Times New Roman" w:hAnsi="Times New Roman" w:eastAsia="宋体" w:cs="Times New Roman"/>
                <w:kern w:val="0"/>
                <w:szCs w:val="21"/>
              </w:rPr>
              <w:t>1、故障修复时间超出48小时，每次扣除当月扣款基数的10%；</w:t>
            </w:r>
          </w:p>
          <w:p>
            <w:pPr>
              <w:spacing w:line="300" w:lineRule="auto"/>
              <w:jc w:val="left"/>
              <w:rPr>
                <w:rFonts w:ascii="Times New Roman" w:hAnsi="Times New Roman" w:eastAsia="宋体" w:cs="Times New Roman"/>
                <w:kern w:val="0"/>
                <w:szCs w:val="21"/>
              </w:rPr>
            </w:pPr>
            <w:r>
              <w:rPr>
                <w:rFonts w:ascii="Times New Roman" w:hAnsi="Times New Roman" w:eastAsia="宋体" w:cs="Times New Roman"/>
                <w:kern w:val="0"/>
                <w:szCs w:val="21"/>
              </w:rPr>
              <w:t>2、故障修复时间在36-48小时内，每次扣除当月扣款基数的2%；</w:t>
            </w:r>
          </w:p>
          <w:p>
            <w:pPr>
              <w:spacing w:line="300" w:lineRule="auto"/>
              <w:jc w:val="left"/>
              <w:rPr>
                <w:rFonts w:ascii="Times New Roman" w:hAnsi="Times New Roman" w:eastAsia="宋体" w:cs="Times New Roman"/>
                <w:kern w:val="0"/>
                <w:szCs w:val="21"/>
              </w:rPr>
            </w:pPr>
            <w:r>
              <w:rPr>
                <w:rFonts w:ascii="Times New Roman" w:hAnsi="Times New Roman" w:eastAsia="宋体" w:cs="Times New Roman"/>
                <w:kern w:val="0"/>
                <w:szCs w:val="21"/>
              </w:rPr>
              <w:t>3、故障修复时间在24-36小时内，每次扣除当月扣款基数的1%；</w:t>
            </w:r>
          </w:p>
          <w:p>
            <w:pPr>
              <w:spacing w:line="300" w:lineRule="auto"/>
              <w:jc w:val="left"/>
              <w:rPr>
                <w:rFonts w:ascii="Times New Roman" w:hAnsi="Times New Roman" w:eastAsia="宋体" w:cs="Times New Roman"/>
                <w:kern w:val="0"/>
                <w:szCs w:val="21"/>
              </w:rPr>
            </w:pPr>
            <w:r>
              <w:rPr>
                <w:rFonts w:ascii="Times New Roman" w:hAnsi="Times New Roman" w:eastAsia="宋体" w:cs="Times New Roman"/>
                <w:kern w:val="0"/>
                <w:szCs w:val="21"/>
              </w:rPr>
              <w:t>4、当月硬件故障出现次数超过3次，均未在24小时内修复的，扣除当月扣款基数的50%。</w:t>
            </w:r>
          </w:p>
          <w:p>
            <w:pPr>
              <w:spacing w:line="300" w:lineRule="auto"/>
              <w:jc w:val="left"/>
              <w:rPr>
                <w:rFonts w:ascii="Times New Roman" w:hAnsi="Times New Roman" w:eastAsia="宋体" w:cs="Times New Roman"/>
                <w:kern w:val="0"/>
                <w:szCs w:val="21"/>
              </w:rPr>
            </w:pPr>
            <w:r>
              <w:rPr>
                <w:rFonts w:ascii="Times New Roman" w:hAnsi="Times New Roman" w:eastAsia="宋体" w:cs="Times New Roman"/>
                <w:kern w:val="0"/>
                <w:szCs w:val="21"/>
              </w:rPr>
              <w:t>5、当月硬件故障出现次数超过5次，扣除当月扣款基数的50%</w:t>
            </w:r>
          </w:p>
        </w:tc>
        <w:tc>
          <w:tcPr>
            <w:tcW w:w="759" w:type="dxa"/>
            <w:tcBorders>
              <w:top w:val="single" w:color="auto" w:sz="4" w:space="0"/>
              <w:left w:val="single" w:color="auto" w:sz="4" w:space="0"/>
              <w:bottom w:val="single" w:color="auto" w:sz="4" w:space="0"/>
              <w:right w:val="single" w:color="auto" w:sz="4" w:space="0"/>
            </w:tcBorders>
            <w:vAlign w:val="center"/>
          </w:tcPr>
          <w:p>
            <w:pPr>
              <w:spacing w:line="300" w:lineRule="auto"/>
              <w:jc w:val="left"/>
              <w:rPr>
                <w:rFonts w:ascii="Times New Roman" w:hAnsi="Times New Roman" w:eastAsia="宋体" w:cs="Times New Roman"/>
                <w:kern w:val="0"/>
                <w:szCs w:val="21"/>
              </w:rPr>
            </w:pPr>
            <w:r>
              <w:rPr>
                <w:rFonts w:ascii="Times New Roman" w:hAnsi="Times New Roman" w:eastAsia="宋体" w:cs="Times New Roman"/>
                <w:kern w:val="0"/>
                <w:szCs w:val="21"/>
              </w:rPr>
              <w:t>月度</w:t>
            </w:r>
          </w:p>
        </w:tc>
      </w:tr>
    </w:tbl>
    <w:p>
      <w:pPr>
        <w:pStyle w:val="24"/>
        <w:spacing w:line="360" w:lineRule="auto"/>
        <w:ind w:firstLine="480"/>
        <w:rPr>
          <w:rFonts w:ascii="Times New Roman" w:hAnsi="Times New Roman" w:eastAsia="宋体" w:cs="Times New Roman"/>
          <w:sz w:val="24"/>
          <w:szCs w:val="24"/>
        </w:rPr>
      </w:pPr>
      <w:r>
        <w:rPr>
          <w:rFonts w:ascii="Times New Roman" w:hAnsi="Times New Roman" w:eastAsia="宋体" w:cs="Times New Roman"/>
          <w:sz w:val="24"/>
          <w:szCs w:val="24"/>
        </w:rPr>
        <w:t>另外，对已整合接入的社会资源，因被整合单位原因造成整合异常的，待被整合单位造成原因消除后，应及时恢复，否则按社会资源整合未联通的情况处理。</w:t>
      </w:r>
    </w:p>
    <w:p>
      <w:pPr>
        <w:pStyle w:val="3"/>
        <w:spacing w:before="120" w:beforeLines="50" w:after="120" w:afterLines="50" w:line="360" w:lineRule="auto"/>
        <w:rPr>
          <w:rFonts w:ascii="Times New Roman" w:hAnsi="Times New Roman" w:eastAsia="黑体" w:cs="Times New Roman"/>
          <w:b w:val="0"/>
          <w:sz w:val="30"/>
          <w:szCs w:val="30"/>
        </w:rPr>
      </w:pPr>
      <w:bookmarkStart w:id="47" w:name="_Toc536694745"/>
      <w:bookmarkStart w:id="48" w:name="_Toc536694687"/>
      <w:r>
        <w:rPr>
          <w:rFonts w:ascii="Times New Roman" w:hAnsi="Times New Roman" w:eastAsia="黑体" w:cs="Times New Roman"/>
          <w:b w:val="0"/>
          <w:sz w:val="30"/>
          <w:szCs w:val="30"/>
        </w:rPr>
        <w:t>3.3、运维服务考核</w:t>
      </w:r>
      <w:bookmarkEnd w:id="47"/>
      <w:bookmarkEnd w:id="48"/>
    </w:p>
    <w:p>
      <w:pPr>
        <w:pStyle w:val="24"/>
        <w:spacing w:line="360" w:lineRule="auto"/>
        <w:ind w:firstLine="480"/>
        <w:rPr>
          <w:rFonts w:ascii="Times New Roman" w:hAnsi="Times New Roman" w:eastAsia="宋体" w:cs="Times New Roman"/>
          <w:sz w:val="24"/>
          <w:szCs w:val="24"/>
        </w:rPr>
      </w:pPr>
      <w:r>
        <w:rPr>
          <w:rFonts w:ascii="Times New Roman" w:hAnsi="Times New Roman" w:eastAsia="宋体" w:cs="Times New Roman"/>
          <w:sz w:val="24"/>
          <w:szCs w:val="24"/>
        </w:rPr>
        <w:t>运维服务考核内容包括驻点服务、应急保障、定期巡检和安全管理等，具体考核要求如下：</w:t>
      </w:r>
    </w:p>
    <w:tbl>
      <w:tblPr>
        <w:tblStyle w:val="16"/>
        <w:tblW w:w="830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6"/>
        <w:gridCol w:w="2605"/>
        <w:gridCol w:w="1685"/>
        <w:gridCol w:w="1181"/>
        <w:gridCol w:w="14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blHeader/>
          <w:jc w:val="center"/>
        </w:trPr>
        <w:tc>
          <w:tcPr>
            <w:tcW w:w="1406"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s="Times New Roman"/>
                <w:b/>
                <w:bCs/>
                <w:szCs w:val="21"/>
              </w:rPr>
            </w:pPr>
            <w:r>
              <w:rPr>
                <w:rFonts w:ascii="Times New Roman" w:hAnsi="Times New Roman" w:eastAsia="宋体" w:cs="Times New Roman"/>
                <w:b/>
                <w:bCs/>
                <w:szCs w:val="21"/>
              </w:rPr>
              <w:t xml:space="preserve">考核名称 </w:t>
            </w:r>
          </w:p>
        </w:tc>
        <w:tc>
          <w:tcPr>
            <w:tcW w:w="2605"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s="Times New Roman"/>
                <w:b/>
                <w:bCs/>
                <w:szCs w:val="21"/>
              </w:rPr>
            </w:pPr>
            <w:r>
              <w:rPr>
                <w:rFonts w:ascii="Times New Roman" w:hAnsi="Times New Roman" w:eastAsia="宋体" w:cs="Times New Roman"/>
                <w:b/>
                <w:bCs/>
                <w:szCs w:val="21"/>
              </w:rPr>
              <w:t xml:space="preserve"> 考核内容说明</w:t>
            </w:r>
          </w:p>
        </w:tc>
        <w:tc>
          <w:tcPr>
            <w:tcW w:w="1685"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s="Times New Roman"/>
                <w:b/>
                <w:bCs/>
                <w:szCs w:val="21"/>
              </w:rPr>
            </w:pPr>
            <w:r>
              <w:rPr>
                <w:rFonts w:ascii="Times New Roman" w:hAnsi="Times New Roman" w:eastAsia="宋体" w:cs="Times New Roman"/>
                <w:b/>
                <w:bCs/>
                <w:szCs w:val="21"/>
              </w:rPr>
              <w:t xml:space="preserve"> 扣款标准 </w:t>
            </w:r>
          </w:p>
        </w:tc>
        <w:tc>
          <w:tcPr>
            <w:tcW w:w="1181"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s="Times New Roman"/>
                <w:b/>
                <w:bCs/>
                <w:szCs w:val="21"/>
              </w:rPr>
            </w:pPr>
            <w:r>
              <w:rPr>
                <w:rFonts w:ascii="Times New Roman" w:hAnsi="Times New Roman" w:eastAsia="宋体" w:cs="Times New Roman"/>
                <w:b/>
                <w:bCs/>
                <w:szCs w:val="21"/>
              </w:rPr>
              <w:t>扣款基数</w:t>
            </w:r>
          </w:p>
        </w:tc>
        <w:tc>
          <w:tcPr>
            <w:tcW w:w="1425"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s="Times New Roman"/>
                <w:b/>
                <w:bCs/>
                <w:szCs w:val="21"/>
              </w:rPr>
            </w:pPr>
            <w:r>
              <w:rPr>
                <w:rFonts w:ascii="Times New Roman" w:hAnsi="Times New Roman" w:eastAsia="宋体" w:cs="Times New Roman"/>
                <w:b/>
                <w:bCs/>
                <w:szCs w:val="21"/>
              </w:rPr>
              <w:t xml:space="preserve">考核周期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1406"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s="Times New Roman"/>
                <w:szCs w:val="21"/>
              </w:rPr>
            </w:pPr>
            <w:r>
              <w:rPr>
                <w:rFonts w:ascii="Times New Roman" w:hAnsi="Times New Roman" w:eastAsia="宋体" w:cs="Times New Roman"/>
                <w:szCs w:val="21"/>
              </w:rPr>
              <w:t xml:space="preserve">驻点服务 </w:t>
            </w:r>
          </w:p>
        </w:tc>
        <w:tc>
          <w:tcPr>
            <w:tcW w:w="2605"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eastAsia="宋体" w:cs="Times New Roman"/>
                <w:szCs w:val="21"/>
              </w:rPr>
            </w:pPr>
            <w:r>
              <w:rPr>
                <w:rFonts w:ascii="Times New Roman" w:hAnsi="Times New Roman" w:eastAsia="宋体" w:cs="Times New Roman"/>
                <w:szCs w:val="21"/>
              </w:rPr>
              <w:t>驻点人员未按要求在岗。</w:t>
            </w:r>
          </w:p>
        </w:tc>
        <w:tc>
          <w:tcPr>
            <w:tcW w:w="1685"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eastAsia="宋体" w:cs="Times New Roman"/>
                <w:szCs w:val="21"/>
              </w:rPr>
            </w:pPr>
            <w:r>
              <w:rPr>
                <w:rFonts w:ascii="Times New Roman" w:hAnsi="Times New Roman" w:eastAsia="宋体" w:cs="Times New Roman"/>
                <w:szCs w:val="21"/>
              </w:rPr>
              <w:t>发现一人次扣款100元</w:t>
            </w:r>
          </w:p>
        </w:tc>
        <w:tc>
          <w:tcPr>
            <w:tcW w:w="1181"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s="Times New Roman"/>
                <w:szCs w:val="21"/>
              </w:rPr>
            </w:pPr>
            <w:r>
              <w:rPr>
                <w:rFonts w:ascii="Times New Roman" w:hAnsi="Times New Roman" w:eastAsia="宋体" w:cs="Times New Roman"/>
                <w:szCs w:val="21"/>
              </w:rPr>
              <w:t>/</w:t>
            </w:r>
          </w:p>
        </w:tc>
        <w:tc>
          <w:tcPr>
            <w:tcW w:w="1425"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s="Times New Roman"/>
                <w:szCs w:val="21"/>
              </w:rPr>
            </w:pPr>
            <w:r>
              <w:rPr>
                <w:rFonts w:ascii="Times New Roman" w:hAnsi="Times New Roman" w:eastAsia="宋体" w:cs="Times New Roman"/>
                <w:szCs w:val="21"/>
              </w:rPr>
              <w:t>月度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1406"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s="Times New Roman"/>
                <w:szCs w:val="21"/>
              </w:rPr>
            </w:pPr>
            <w:r>
              <w:rPr>
                <w:rFonts w:ascii="Times New Roman" w:hAnsi="Times New Roman" w:eastAsia="宋体" w:cs="Times New Roman"/>
                <w:szCs w:val="21"/>
              </w:rPr>
              <w:t xml:space="preserve">应急保障 </w:t>
            </w:r>
          </w:p>
        </w:tc>
        <w:tc>
          <w:tcPr>
            <w:tcW w:w="2605"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eastAsia="宋体" w:cs="Times New Roman"/>
                <w:szCs w:val="21"/>
              </w:rPr>
            </w:pPr>
            <w:r>
              <w:rPr>
                <w:rFonts w:ascii="Times New Roman" w:hAnsi="Times New Roman" w:eastAsia="宋体" w:cs="Times New Roman"/>
                <w:szCs w:val="21"/>
              </w:rPr>
              <w:t>未按建设单位需求组织人员设备，保障不力的。</w:t>
            </w:r>
          </w:p>
        </w:tc>
        <w:tc>
          <w:tcPr>
            <w:tcW w:w="1685"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eastAsia="宋体" w:cs="Times New Roman"/>
                <w:szCs w:val="21"/>
              </w:rPr>
            </w:pPr>
            <w:r>
              <w:rPr>
                <w:rFonts w:ascii="Times New Roman" w:hAnsi="Times New Roman" w:eastAsia="宋体" w:cs="Times New Roman"/>
                <w:szCs w:val="21"/>
              </w:rPr>
              <w:t>扣款1000元/次</w:t>
            </w:r>
          </w:p>
        </w:tc>
        <w:tc>
          <w:tcPr>
            <w:tcW w:w="1181"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s="Times New Roman"/>
                <w:szCs w:val="21"/>
              </w:rPr>
            </w:pPr>
            <w:r>
              <w:rPr>
                <w:rFonts w:ascii="Times New Roman" w:hAnsi="Times New Roman" w:eastAsia="宋体" w:cs="Times New Roman"/>
                <w:szCs w:val="21"/>
              </w:rPr>
              <w:t>/</w:t>
            </w:r>
          </w:p>
        </w:tc>
        <w:tc>
          <w:tcPr>
            <w:tcW w:w="1425"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s="Times New Roman"/>
                <w:szCs w:val="21"/>
              </w:rPr>
            </w:pPr>
            <w:r>
              <w:rPr>
                <w:rFonts w:ascii="Times New Roman" w:hAnsi="Times New Roman" w:eastAsia="宋体" w:cs="Times New Roman"/>
                <w:szCs w:val="21"/>
              </w:rPr>
              <w:t>月度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1406" w:type="dxa"/>
            <w:vMerge w:val="restart"/>
            <w:tcBorders>
              <w:top w:val="single" w:color="auto" w:sz="4" w:space="0"/>
              <w:left w:val="single" w:color="auto" w:sz="4" w:space="0"/>
              <w:right w:val="single" w:color="auto" w:sz="4" w:space="0"/>
            </w:tcBorders>
            <w:vAlign w:val="center"/>
          </w:tcPr>
          <w:p>
            <w:pPr>
              <w:jc w:val="center"/>
              <w:rPr>
                <w:rFonts w:ascii="Times New Roman" w:hAnsi="Times New Roman" w:eastAsia="宋体" w:cs="Times New Roman"/>
                <w:szCs w:val="21"/>
              </w:rPr>
            </w:pPr>
            <w:r>
              <w:rPr>
                <w:rFonts w:ascii="Times New Roman" w:hAnsi="Times New Roman" w:eastAsia="宋体" w:cs="Times New Roman"/>
                <w:szCs w:val="21"/>
              </w:rPr>
              <w:t>定期巡检</w:t>
            </w:r>
          </w:p>
        </w:tc>
        <w:tc>
          <w:tcPr>
            <w:tcW w:w="2605"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eastAsia="宋体" w:cs="Times New Roman"/>
                <w:szCs w:val="21"/>
              </w:rPr>
            </w:pPr>
            <w:r>
              <w:rPr>
                <w:rFonts w:ascii="Times New Roman" w:hAnsi="Times New Roman" w:eastAsia="宋体" w:cs="Times New Roman"/>
                <w:szCs w:val="21"/>
              </w:rPr>
              <w:t>安全巡检服务每月≥1次</w:t>
            </w:r>
          </w:p>
        </w:tc>
        <w:tc>
          <w:tcPr>
            <w:tcW w:w="1685"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eastAsia="宋体" w:cs="Times New Roman"/>
                <w:szCs w:val="21"/>
              </w:rPr>
            </w:pPr>
            <w:r>
              <w:rPr>
                <w:rFonts w:ascii="Times New Roman" w:hAnsi="Times New Roman" w:eastAsia="宋体" w:cs="Times New Roman"/>
                <w:szCs w:val="21"/>
              </w:rPr>
              <w:t xml:space="preserve">未按要求完成巡检的，扣款5000元 </w:t>
            </w:r>
          </w:p>
        </w:tc>
        <w:tc>
          <w:tcPr>
            <w:tcW w:w="1181"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s="Times New Roman"/>
                <w:szCs w:val="21"/>
              </w:rPr>
            </w:pPr>
            <w:r>
              <w:rPr>
                <w:rFonts w:ascii="Times New Roman" w:hAnsi="Times New Roman" w:eastAsia="宋体" w:cs="Times New Roman"/>
                <w:szCs w:val="21"/>
              </w:rPr>
              <w:t>/</w:t>
            </w:r>
          </w:p>
        </w:tc>
        <w:tc>
          <w:tcPr>
            <w:tcW w:w="1425"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s="Times New Roman"/>
                <w:szCs w:val="21"/>
              </w:rPr>
            </w:pPr>
            <w:r>
              <w:rPr>
                <w:rFonts w:ascii="Times New Roman" w:hAnsi="Times New Roman" w:eastAsia="宋体" w:cs="Times New Roman"/>
                <w:szCs w:val="21"/>
              </w:rPr>
              <w:t>月度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1406" w:type="dxa"/>
            <w:vMerge w:val="continue"/>
            <w:tcBorders>
              <w:left w:val="single" w:color="auto" w:sz="4" w:space="0"/>
              <w:bottom w:val="single" w:color="auto" w:sz="4" w:space="0"/>
              <w:right w:val="single" w:color="auto" w:sz="4" w:space="0"/>
            </w:tcBorders>
            <w:vAlign w:val="center"/>
          </w:tcPr>
          <w:p>
            <w:pPr>
              <w:jc w:val="center"/>
              <w:rPr>
                <w:rFonts w:ascii="Times New Roman" w:hAnsi="Times New Roman" w:eastAsia="宋体" w:cs="Times New Roman"/>
                <w:szCs w:val="21"/>
              </w:rPr>
            </w:pPr>
          </w:p>
        </w:tc>
        <w:tc>
          <w:tcPr>
            <w:tcW w:w="2605"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eastAsia="宋体" w:cs="Times New Roman"/>
                <w:szCs w:val="21"/>
              </w:rPr>
            </w:pPr>
            <w:r>
              <w:rPr>
                <w:rFonts w:ascii="Times New Roman" w:hAnsi="Times New Roman" w:eastAsia="宋体" w:cs="Times New Roman"/>
                <w:szCs w:val="21"/>
              </w:rPr>
              <w:t>设备巡检服务每季度≥1次</w:t>
            </w:r>
          </w:p>
        </w:tc>
        <w:tc>
          <w:tcPr>
            <w:tcW w:w="1685"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eastAsia="宋体" w:cs="Times New Roman"/>
                <w:szCs w:val="21"/>
              </w:rPr>
            </w:pPr>
            <w:r>
              <w:rPr>
                <w:rFonts w:ascii="Times New Roman" w:hAnsi="Times New Roman" w:eastAsia="宋体" w:cs="Times New Roman"/>
                <w:szCs w:val="21"/>
              </w:rPr>
              <w:t xml:space="preserve">未按要求完成巡检的，扣款10000元  </w:t>
            </w:r>
          </w:p>
        </w:tc>
        <w:tc>
          <w:tcPr>
            <w:tcW w:w="1181"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s="Times New Roman"/>
                <w:szCs w:val="21"/>
              </w:rPr>
            </w:pPr>
            <w:r>
              <w:rPr>
                <w:rFonts w:ascii="Times New Roman" w:hAnsi="Times New Roman" w:eastAsia="宋体" w:cs="Times New Roman"/>
                <w:szCs w:val="21"/>
              </w:rPr>
              <w:t>/</w:t>
            </w:r>
          </w:p>
        </w:tc>
        <w:tc>
          <w:tcPr>
            <w:tcW w:w="1425"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s="Times New Roman"/>
                <w:szCs w:val="21"/>
              </w:rPr>
            </w:pPr>
            <w:r>
              <w:rPr>
                <w:rFonts w:ascii="Times New Roman" w:hAnsi="Times New Roman" w:eastAsia="宋体" w:cs="Times New Roman"/>
                <w:szCs w:val="21"/>
              </w:rPr>
              <w:t>季度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1406"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s="Times New Roman"/>
                <w:szCs w:val="21"/>
              </w:rPr>
            </w:pPr>
            <w:r>
              <w:rPr>
                <w:rFonts w:ascii="Times New Roman" w:hAnsi="Times New Roman" w:eastAsia="宋体" w:cs="Times New Roman"/>
                <w:szCs w:val="21"/>
              </w:rPr>
              <w:t>安全管理</w:t>
            </w:r>
          </w:p>
        </w:tc>
        <w:tc>
          <w:tcPr>
            <w:tcW w:w="2605"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eastAsia="宋体" w:cs="Times New Roman"/>
                <w:szCs w:val="21"/>
              </w:rPr>
            </w:pPr>
            <w:r>
              <w:rPr>
                <w:rFonts w:ascii="Times New Roman" w:hAnsi="Times New Roman" w:eastAsia="宋体" w:cs="Times New Roman"/>
                <w:szCs w:val="21"/>
              </w:rPr>
              <w:t>因未规范开展系统软硬件安装调试，或系统调试过程中未按规范尽责，造成系统存在安全漏洞的。</w:t>
            </w:r>
          </w:p>
        </w:tc>
        <w:tc>
          <w:tcPr>
            <w:tcW w:w="1685"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eastAsia="宋体" w:cs="Times New Roman"/>
                <w:szCs w:val="21"/>
              </w:rPr>
            </w:pPr>
            <w:r>
              <w:rPr>
                <w:rFonts w:ascii="Times New Roman" w:hAnsi="Times New Roman" w:eastAsia="宋体" w:cs="Times New Roman"/>
                <w:szCs w:val="21"/>
              </w:rPr>
              <w:t>发现一次扣款5000元</w:t>
            </w:r>
          </w:p>
        </w:tc>
        <w:tc>
          <w:tcPr>
            <w:tcW w:w="1181"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s="Times New Roman"/>
                <w:szCs w:val="21"/>
              </w:rPr>
            </w:pPr>
            <w:r>
              <w:rPr>
                <w:rFonts w:ascii="Times New Roman" w:hAnsi="Times New Roman" w:eastAsia="宋体" w:cs="Times New Roman"/>
                <w:szCs w:val="21"/>
              </w:rPr>
              <w:t>/</w:t>
            </w:r>
          </w:p>
        </w:tc>
        <w:tc>
          <w:tcPr>
            <w:tcW w:w="1425"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s="Times New Roman"/>
                <w:szCs w:val="21"/>
              </w:rPr>
            </w:pPr>
            <w:r>
              <w:rPr>
                <w:rFonts w:ascii="Times New Roman" w:hAnsi="Times New Roman" w:eastAsia="宋体" w:cs="Times New Roman"/>
                <w:szCs w:val="21"/>
              </w:rPr>
              <w:t>月度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1406" w:type="dxa"/>
            <w:vMerge w:val="continue"/>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eastAsia="宋体" w:cs="Times New Roman"/>
                <w:szCs w:val="21"/>
              </w:rPr>
            </w:pPr>
          </w:p>
        </w:tc>
        <w:tc>
          <w:tcPr>
            <w:tcW w:w="2605"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eastAsia="宋体" w:cs="Times New Roman"/>
                <w:szCs w:val="21"/>
              </w:rPr>
            </w:pPr>
            <w:r>
              <w:rPr>
                <w:rFonts w:ascii="Times New Roman" w:hAnsi="Times New Roman" w:eastAsia="宋体" w:cs="Times New Roman"/>
                <w:szCs w:val="21"/>
              </w:rPr>
              <w:t>建设运维服务商人员未履行信息安全保密要求，泄露警务信息秘密的。</w:t>
            </w:r>
          </w:p>
        </w:tc>
        <w:tc>
          <w:tcPr>
            <w:tcW w:w="1685"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eastAsia="宋体" w:cs="Times New Roman"/>
                <w:szCs w:val="21"/>
              </w:rPr>
            </w:pPr>
            <w:r>
              <w:rPr>
                <w:rFonts w:ascii="Times New Roman" w:hAnsi="Times New Roman" w:eastAsia="宋体" w:cs="Times New Roman"/>
                <w:szCs w:val="21"/>
              </w:rPr>
              <w:t>发生一次扣款5000元</w:t>
            </w:r>
          </w:p>
        </w:tc>
        <w:tc>
          <w:tcPr>
            <w:tcW w:w="1181"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s="Times New Roman"/>
                <w:szCs w:val="21"/>
              </w:rPr>
            </w:pPr>
            <w:r>
              <w:rPr>
                <w:rFonts w:ascii="Times New Roman" w:hAnsi="Times New Roman" w:eastAsia="宋体" w:cs="Times New Roman"/>
                <w:szCs w:val="21"/>
              </w:rPr>
              <w:t>/</w:t>
            </w:r>
          </w:p>
        </w:tc>
        <w:tc>
          <w:tcPr>
            <w:tcW w:w="1425"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s="Times New Roman"/>
                <w:szCs w:val="21"/>
              </w:rPr>
            </w:pPr>
            <w:r>
              <w:rPr>
                <w:rFonts w:ascii="Times New Roman" w:hAnsi="Times New Roman" w:eastAsia="宋体" w:cs="Times New Roman"/>
                <w:szCs w:val="21"/>
              </w:rPr>
              <w:t>月度</w:t>
            </w:r>
          </w:p>
        </w:tc>
      </w:tr>
    </w:tbl>
    <w:p>
      <w:pPr>
        <w:widowControl/>
        <w:autoSpaceDE w:val="0"/>
        <w:spacing w:before="120" w:beforeLines="50" w:after="120" w:afterLines="50" w:line="360" w:lineRule="auto"/>
        <w:jc w:val="left"/>
        <w:outlineLvl w:val="0"/>
        <w:rPr>
          <w:rFonts w:ascii="Times New Roman" w:hAnsi="Times New Roman" w:eastAsia="黑体" w:cs="Times New Roman"/>
          <w:kern w:val="0"/>
          <w:sz w:val="32"/>
          <w:szCs w:val="30"/>
        </w:rPr>
      </w:pPr>
      <w:bookmarkStart w:id="49" w:name="_Toc536694688"/>
      <w:bookmarkStart w:id="50" w:name="_Toc536694746"/>
      <w:bookmarkStart w:id="51" w:name="_Toc535150762"/>
      <w:r>
        <w:rPr>
          <w:rFonts w:ascii="Times New Roman" w:hAnsi="Times New Roman" w:eastAsia="黑体" w:cs="Times New Roman"/>
          <w:kern w:val="0"/>
          <w:sz w:val="32"/>
          <w:szCs w:val="30"/>
        </w:rPr>
        <w:t>4、</w:t>
      </w:r>
      <w:bookmarkEnd w:id="20"/>
      <w:bookmarkEnd w:id="21"/>
      <w:bookmarkEnd w:id="22"/>
      <w:r>
        <w:rPr>
          <w:rFonts w:ascii="Times New Roman" w:hAnsi="Times New Roman" w:eastAsia="黑体" w:cs="Times New Roman"/>
          <w:kern w:val="0"/>
          <w:sz w:val="32"/>
          <w:szCs w:val="30"/>
        </w:rPr>
        <w:t>需求清单</w:t>
      </w:r>
      <w:bookmarkEnd w:id="49"/>
      <w:bookmarkEnd w:id="50"/>
      <w:bookmarkEnd w:id="51"/>
    </w:p>
    <w:p>
      <w:pPr>
        <w:pStyle w:val="3"/>
        <w:spacing w:before="120" w:beforeLines="50" w:after="120" w:afterLines="50" w:line="360" w:lineRule="auto"/>
        <w:rPr>
          <w:rFonts w:ascii="Times New Roman" w:hAnsi="Times New Roman" w:eastAsia="黑体" w:cs="Times New Roman"/>
          <w:b w:val="0"/>
          <w:sz w:val="30"/>
          <w:szCs w:val="30"/>
        </w:rPr>
      </w:pPr>
      <w:bookmarkStart w:id="52" w:name="_Toc536694747"/>
      <w:bookmarkStart w:id="53" w:name="_Toc535150763"/>
      <w:bookmarkStart w:id="54" w:name="_Toc536694689"/>
      <w:r>
        <w:rPr>
          <w:rFonts w:ascii="Times New Roman" w:hAnsi="Times New Roman" w:eastAsia="黑体" w:cs="Times New Roman"/>
          <w:b w:val="0"/>
          <w:sz w:val="30"/>
          <w:szCs w:val="30"/>
        </w:rPr>
        <w:t>4.1、网络链路</w:t>
      </w:r>
      <w:bookmarkEnd w:id="52"/>
      <w:bookmarkEnd w:id="53"/>
      <w:bookmarkEnd w:id="54"/>
    </w:p>
    <w:tbl>
      <w:tblPr>
        <w:tblStyle w:val="16"/>
        <w:tblW w:w="8302" w:type="dxa"/>
        <w:tblInd w:w="0" w:type="dxa"/>
        <w:tblLayout w:type="fixed"/>
        <w:tblCellMar>
          <w:top w:w="0" w:type="dxa"/>
          <w:left w:w="108" w:type="dxa"/>
          <w:bottom w:w="0" w:type="dxa"/>
          <w:right w:w="108" w:type="dxa"/>
        </w:tblCellMar>
      </w:tblPr>
      <w:tblGrid>
        <w:gridCol w:w="676"/>
        <w:gridCol w:w="2012"/>
        <w:gridCol w:w="4254"/>
        <w:gridCol w:w="707"/>
        <w:gridCol w:w="653"/>
      </w:tblGrid>
      <w:tr>
        <w:tblPrEx>
          <w:tblLayout w:type="fixed"/>
          <w:tblCellMar>
            <w:top w:w="0" w:type="dxa"/>
            <w:left w:w="108" w:type="dxa"/>
            <w:bottom w:w="0" w:type="dxa"/>
            <w:right w:w="108" w:type="dxa"/>
          </w:tblCellMar>
        </w:tblPrEx>
        <w:trPr>
          <w:trHeight w:val="498" w:hRule="atLeast"/>
          <w:tblHeader/>
        </w:trPr>
        <w:tc>
          <w:tcPr>
            <w:tcW w:w="67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eastAsia="等线" w:cs="Times New Roman"/>
                <w:b/>
                <w:bCs/>
                <w:color w:val="000000"/>
                <w:kern w:val="0"/>
                <w:szCs w:val="21"/>
              </w:rPr>
            </w:pPr>
            <w:r>
              <w:rPr>
                <w:rFonts w:ascii="Times New Roman" w:hAnsi="Times New Roman" w:eastAsia="宋体" w:cs="Times New Roman"/>
                <w:b/>
                <w:bCs/>
                <w:color w:val="000000"/>
                <w:kern w:val="0"/>
                <w:szCs w:val="21"/>
              </w:rPr>
              <w:t>序号</w:t>
            </w:r>
          </w:p>
        </w:tc>
        <w:tc>
          <w:tcPr>
            <w:tcW w:w="2012"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Times New Roman" w:hAnsi="Times New Roman" w:eastAsia="等线" w:cs="Times New Roman"/>
                <w:b/>
                <w:bCs/>
                <w:color w:val="000000"/>
                <w:kern w:val="0"/>
                <w:szCs w:val="21"/>
              </w:rPr>
            </w:pPr>
            <w:r>
              <w:rPr>
                <w:rFonts w:ascii="Times New Roman" w:hAnsi="Times New Roman" w:eastAsia="宋体" w:cs="Times New Roman"/>
                <w:b/>
                <w:bCs/>
                <w:color w:val="000000"/>
                <w:kern w:val="0"/>
                <w:szCs w:val="21"/>
              </w:rPr>
              <w:t>设备名称</w:t>
            </w:r>
          </w:p>
        </w:tc>
        <w:tc>
          <w:tcPr>
            <w:tcW w:w="4254"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Times New Roman" w:hAnsi="Times New Roman" w:eastAsia="等线" w:cs="Times New Roman"/>
                <w:b/>
                <w:bCs/>
                <w:color w:val="000000"/>
                <w:kern w:val="0"/>
                <w:szCs w:val="21"/>
              </w:rPr>
            </w:pPr>
            <w:r>
              <w:rPr>
                <w:rFonts w:ascii="Times New Roman" w:hAnsi="Times New Roman" w:eastAsia="宋体" w:cs="Times New Roman"/>
                <w:b/>
                <w:bCs/>
                <w:color w:val="000000"/>
                <w:kern w:val="0"/>
                <w:szCs w:val="21"/>
              </w:rPr>
              <w:t>主要性能指标</w:t>
            </w:r>
          </w:p>
        </w:tc>
        <w:tc>
          <w:tcPr>
            <w:tcW w:w="707"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Times New Roman" w:hAnsi="Times New Roman" w:eastAsia="等线" w:cs="Times New Roman"/>
                <w:b/>
                <w:bCs/>
                <w:color w:val="000000"/>
                <w:kern w:val="0"/>
                <w:szCs w:val="21"/>
              </w:rPr>
            </w:pPr>
            <w:r>
              <w:rPr>
                <w:rFonts w:ascii="Times New Roman" w:hAnsi="Times New Roman" w:eastAsia="宋体" w:cs="Times New Roman"/>
                <w:b/>
                <w:bCs/>
                <w:color w:val="000000"/>
                <w:kern w:val="0"/>
                <w:szCs w:val="21"/>
              </w:rPr>
              <w:t>单位</w:t>
            </w:r>
          </w:p>
        </w:tc>
        <w:tc>
          <w:tcPr>
            <w:tcW w:w="653"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Times New Roman" w:hAnsi="Times New Roman" w:eastAsia="等线" w:cs="Times New Roman"/>
                <w:b/>
                <w:bCs/>
                <w:color w:val="000000"/>
                <w:kern w:val="0"/>
                <w:szCs w:val="21"/>
              </w:rPr>
            </w:pPr>
            <w:r>
              <w:rPr>
                <w:rFonts w:ascii="Times New Roman" w:hAnsi="Times New Roman" w:eastAsia="宋体" w:cs="Times New Roman"/>
                <w:b/>
                <w:bCs/>
                <w:color w:val="000000"/>
                <w:kern w:val="0"/>
                <w:szCs w:val="21"/>
              </w:rPr>
              <w:t>数量</w:t>
            </w:r>
          </w:p>
        </w:tc>
      </w:tr>
      <w:tr>
        <w:tblPrEx>
          <w:tblLayout w:type="fixed"/>
          <w:tblCellMar>
            <w:top w:w="0" w:type="dxa"/>
            <w:left w:w="108" w:type="dxa"/>
            <w:bottom w:w="0" w:type="dxa"/>
            <w:right w:w="108" w:type="dxa"/>
          </w:tblCellMar>
        </w:tblPrEx>
        <w:trPr>
          <w:trHeight w:val="498" w:hRule="atLeast"/>
        </w:trPr>
        <w:tc>
          <w:tcPr>
            <w:tcW w:w="67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eastAsia="等线" w:cs="Times New Roman"/>
                <w:color w:val="000000"/>
                <w:kern w:val="0"/>
                <w:szCs w:val="21"/>
              </w:rPr>
            </w:pPr>
            <w:r>
              <w:rPr>
                <w:rFonts w:ascii="Times New Roman" w:hAnsi="Times New Roman" w:eastAsia="等线" w:cs="Times New Roman"/>
                <w:color w:val="000000"/>
                <w:kern w:val="0"/>
                <w:szCs w:val="21"/>
              </w:rPr>
              <w:t>1</w:t>
            </w:r>
          </w:p>
        </w:tc>
        <w:tc>
          <w:tcPr>
            <w:tcW w:w="2012" w:type="dxa"/>
            <w:tcBorders>
              <w:top w:val="nil"/>
              <w:left w:val="nil"/>
              <w:bottom w:val="single" w:color="auto" w:sz="4" w:space="0"/>
              <w:right w:val="single" w:color="auto" w:sz="4" w:space="0"/>
            </w:tcBorders>
            <w:shd w:val="clear" w:color="auto" w:fill="auto"/>
            <w:vAlign w:val="center"/>
          </w:tcPr>
          <w:p>
            <w:pPr>
              <w:widowControl/>
              <w:jc w:val="left"/>
              <w:rPr>
                <w:rFonts w:ascii="Times New Roman" w:hAnsi="Times New Roman" w:eastAsia="等线" w:cs="Times New Roman"/>
                <w:color w:val="000000"/>
                <w:kern w:val="0"/>
                <w:szCs w:val="21"/>
              </w:rPr>
            </w:pPr>
            <w:r>
              <w:rPr>
                <w:rFonts w:ascii="Times New Roman" w:hAnsi="Times New Roman" w:eastAsia="宋体" w:cs="Times New Roman"/>
                <w:color w:val="000000"/>
                <w:kern w:val="0"/>
                <w:szCs w:val="21"/>
              </w:rPr>
              <w:t>前端主用接入链路</w:t>
            </w:r>
          </w:p>
        </w:tc>
        <w:tc>
          <w:tcPr>
            <w:tcW w:w="4254" w:type="dxa"/>
            <w:tcBorders>
              <w:top w:val="nil"/>
              <w:left w:val="nil"/>
              <w:bottom w:val="single" w:color="auto" w:sz="4" w:space="0"/>
              <w:right w:val="single" w:color="auto" w:sz="4" w:space="0"/>
            </w:tcBorders>
            <w:shd w:val="clear" w:color="auto" w:fill="auto"/>
            <w:vAlign w:val="center"/>
          </w:tcPr>
          <w:p>
            <w:pPr>
              <w:widowControl/>
              <w:jc w:val="left"/>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千兆前端接入专线链路（按5年计算，包括网络搭建、点位线路敷设，传输光纤、光电转换器、前端点位接入交换机等建设维护费用）。</w:t>
            </w:r>
          </w:p>
        </w:tc>
        <w:tc>
          <w:tcPr>
            <w:tcW w:w="707"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eastAsia="等线" w:cs="Times New Roman"/>
                <w:color w:val="000000"/>
                <w:kern w:val="0"/>
                <w:szCs w:val="21"/>
              </w:rPr>
            </w:pPr>
            <w:r>
              <w:rPr>
                <w:rFonts w:ascii="Times New Roman" w:hAnsi="Times New Roman" w:eastAsia="宋体" w:cs="Times New Roman"/>
                <w:color w:val="000000"/>
                <w:kern w:val="0"/>
                <w:szCs w:val="21"/>
              </w:rPr>
              <w:t>条</w:t>
            </w:r>
          </w:p>
        </w:tc>
        <w:tc>
          <w:tcPr>
            <w:tcW w:w="653"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eastAsia="等线" w:cs="Times New Roman"/>
                <w:color w:val="000000"/>
                <w:kern w:val="0"/>
                <w:szCs w:val="21"/>
              </w:rPr>
            </w:pPr>
            <w:r>
              <w:rPr>
                <w:rFonts w:ascii="Times New Roman" w:hAnsi="Times New Roman" w:eastAsia="等线" w:cs="Times New Roman"/>
                <w:color w:val="000000"/>
                <w:kern w:val="0"/>
                <w:szCs w:val="21"/>
              </w:rPr>
              <w:t>633</w:t>
            </w:r>
          </w:p>
        </w:tc>
      </w:tr>
      <w:tr>
        <w:tblPrEx>
          <w:tblLayout w:type="fixed"/>
          <w:tblCellMar>
            <w:top w:w="0" w:type="dxa"/>
            <w:left w:w="108" w:type="dxa"/>
            <w:bottom w:w="0" w:type="dxa"/>
            <w:right w:w="108" w:type="dxa"/>
          </w:tblCellMar>
        </w:tblPrEx>
        <w:trPr>
          <w:trHeight w:val="714" w:hRule="atLeast"/>
        </w:trPr>
        <w:tc>
          <w:tcPr>
            <w:tcW w:w="67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eastAsia="等线" w:cs="Times New Roman"/>
                <w:color w:val="000000"/>
                <w:kern w:val="0"/>
                <w:szCs w:val="21"/>
              </w:rPr>
            </w:pPr>
            <w:r>
              <w:rPr>
                <w:rFonts w:ascii="Times New Roman" w:hAnsi="Times New Roman" w:eastAsia="等线" w:cs="Times New Roman"/>
                <w:color w:val="000000"/>
                <w:kern w:val="0"/>
                <w:szCs w:val="21"/>
              </w:rPr>
              <w:t>2</w:t>
            </w:r>
          </w:p>
        </w:tc>
        <w:tc>
          <w:tcPr>
            <w:tcW w:w="2012" w:type="dxa"/>
            <w:tcBorders>
              <w:top w:val="nil"/>
              <w:left w:val="nil"/>
              <w:bottom w:val="single" w:color="auto" w:sz="4" w:space="0"/>
              <w:right w:val="single" w:color="auto" w:sz="4" w:space="0"/>
            </w:tcBorders>
            <w:shd w:val="clear" w:color="auto" w:fill="auto"/>
            <w:vAlign w:val="center"/>
          </w:tcPr>
          <w:p>
            <w:pPr>
              <w:widowControl/>
              <w:jc w:val="left"/>
              <w:rPr>
                <w:rFonts w:ascii="Times New Roman" w:hAnsi="Times New Roman" w:eastAsia="等线" w:cs="Times New Roman"/>
                <w:color w:val="000000"/>
                <w:kern w:val="0"/>
                <w:szCs w:val="21"/>
              </w:rPr>
            </w:pPr>
            <w:r>
              <w:rPr>
                <w:rFonts w:ascii="Times New Roman" w:hAnsi="Times New Roman" w:eastAsia="宋体" w:cs="Times New Roman"/>
                <w:color w:val="000000"/>
                <w:kern w:val="0"/>
                <w:szCs w:val="21"/>
              </w:rPr>
              <w:t>前端备灾接入链路</w:t>
            </w:r>
          </w:p>
        </w:tc>
        <w:tc>
          <w:tcPr>
            <w:tcW w:w="4254" w:type="dxa"/>
            <w:tcBorders>
              <w:top w:val="nil"/>
              <w:left w:val="nil"/>
              <w:bottom w:val="single" w:color="auto" w:sz="4" w:space="0"/>
              <w:right w:val="single" w:color="auto" w:sz="4" w:space="0"/>
            </w:tcBorders>
            <w:shd w:val="clear" w:color="auto" w:fill="auto"/>
            <w:vAlign w:val="center"/>
          </w:tcPr>
          <w:p>
            <w:pPr>
              <w:widowControl/>
              <w:jc w:val="left"/>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千兆前端接入专线链路（按5年计算，包括网络搭建、点位线路敷设，传输光纤、光电转换器、前端点位接入交换机等建设维护费用）。</w:t>
            </w:r>
          </w:p>
        </w:tc>
        <w:tc>
          <w:tcPr>
            <w:tcW w:w="707"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eastAsia="等线" w:cs="Times New Roman"/>
                <w:color w:val="000000"/>
                <w:kern w:val="0"/>
                <w:szCs w:val="21"/>
              </w:rPr>
            </w:pPr>
            <w:r>
              <w:rPr>
                <w:rFonts w:ascii="Times New Roman" w:hAnsi="Times New Roman" w:eastAsia="宋体" w:cs="Times New Roman"/>
                <w:color w:val="000000"/>
                <w:kern w:val="0"/>
                <w:szCs w:val="21"/>
              </w:rPr>
              <w:t>条</w:t>
            </w:r>
          </w:p>
        </w:tc>
        <w:tc>
          <w:tcPr>
            <w:tcW w:w="653"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eastAsia="等线" w:cs="Times New Roman"/>
                <w:color w:val="000000"/>
                <w:kern w:val="0"/>
                <w:szCs w:val="21"/>
              </w:rPr>
            </w:pPr>
            <w:r>
              <w:rPr>
                <w:rFonts w:ascii="Times New Roman" w:hAnsi="Times New Roman" w:eastAsia="等线" w:cs="Times New Roman"/>
                <w:color w:val="000000"/>
                <w:kern w:val="0"/>
                <w:szCs w:val="21"/>
              </w:rPr>
              <w:t>80</w:t>
            </w:r>
          </w:p>
        </w:tc>
      </w:tr>
      <w:tr>
        <w:tblPrEx>
          <w:tblLayout w:type="fixed"/>
          <w:tblCellMar>
            <w:top w:w="0" w:type="dxa"/>
            <w:left w:w="108" w:type="dxa"/>
            <w:bottom w:w="0" w:type="dxa"/>
            <w:right w:w="108" w:type="dxa"/>
          </w:tblCellMar>
        </w:tblPrEx>
        <w:trPr>
          <w:trHeight w:val="498" w:hRule="atLeast"/>
        </w:trPr>
        <w:tc>
          <w:tcPr>
            <w:tcW w:w="67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3</w:t>
            </w:r>
          </w:p>
        </w:tc>
        <w:tc>
          <w:tcPr>
            <w:tcW w:w="2012" w:type="dxa"/>
            <w:tcBorders>
              <w:top w:val="single" w:color="auto" w:sz="4" w:space="0"/>
              <w:left w:val="nil"/>
              <w:bottom w:val="single" w:color="auto" w:sz="4" w:space="0"/>
              <w:right w:val="single" w:color="auto" w:sz="4" w:space="0"/>
            </w:tcBorders>
            <w:shd w:val="clear" w:color="auto" w:fill="auto"/>
            <w:vAlign w:val="center"/>
          </w:tcPr>
          <w:p>
            <w:pPr>
              <w:widowControl/>
              <w:jc w:val="left"/>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基层队所网络接入链路</w:t>
            </w:r>
          </w:p>
        </w:tc>
        <w:tc>
          <w:tcPr>
            <w:tcW w:w="4254" w:type="dxa"/>
            <w:tcBorders>
              <w:top w:val="single" w:color="auto" w:sz="4" w:space="0"/>
              <w:left w:val="nil"/>
              <w:bottom w:val="single" w:color="auto" w:sz="4" w:space="0"/>
              <w:right w:val="single" w:color="auto" w:sz="4" w:space="0"/>
            </w:tcBorders>
            <w:shd w:val="clear" w:color="auto" w:fill="auto"/>
            <w:vAlign w:val="center"/>
          </w:tcPr>
          <w:p>
            <w:pPr>
              <w:widowControl/>
              <w:jc w:val="left"/>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千兆前端接入专线链路（按5年计算，包括网络搭建、点位线路敷设，传输光纤、光电转换器、接入交换机等建设维护费用）</w:t>
            </w:r>
          </w:p>
        </w:tc>
        <w:tc>
          <w:tcPr>
            <w:tcW w:w="707"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条</w:t>
            </w:r>
          </w:p>
        </w:tc>
        <w:tc>
          <w:tcPr>
            <w:tcW w:w="653"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8</w:t>
            </w:r>
          </w:p>
        </w:tc>
      </w:tr>
      <w:tr>
        <w:tblPrEx>
          <w:tblLayout w:type="fixed"/>
          <w:tblCellMar>
            <w:top w:w="0" w:type="dxa"/>
            <w:left w:w="108" w:type="dxa"/>
            <w:bottom w:w="0" w:type="dxa"/>
            <w:right w:w="108" w:type="dxa"/>
          </w:tblCellMar>
        </w:tblPrEx>
        <w:trPr>
          <w:trHeight w:val="498" w:hRule="atLeast"/>
        </w:trPr>
        <w:tc>
          <w:tcPr>
            <w:tcW w:w="67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4</w:t>
            </w:r>
          </w:p>
        </w:tc>
        <w:tc>
          <w:tcPr>
            <w:tcW w:w="2012" w:type="dxa"/>
            <w:tcBorders>
              <w:top w:val="single" w:color="auto" w:sz="4" w:space="0"/>
              <w:left w:val="nil"/>
              <w:bottom w:val="single" w:color="auto" w:sz="4" w:space="0"/>
              <w:right w:val="single" w:color="auto" w:sz="4" w:space="0"/>
            </w:tcBorders>
            <w:shd w:val="clear" w:color="auto" w:fill="auto"/>
            <w:vAlign w:val="center"/>
          </w:tcPr>
          <w:p>
            <w:pPr>
              <w:widowControl/>
              <w:jc w:val="left"/>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4G流量卡</w:t>
            </w:r>
          </w:p>
        </w:tc>
        <w:tc>
          <w:tcPr>
            <w:tcW w:w="4254" w:type="dxa"/>
            <w:tcBorders>
              <w:top w:val="single" w:color="auto" w:sz="4" w:space="0"/>
              <w:left w:val="nil"/>
              <w:bottom w:val="single" w:color="auto" w:sz="4" w:space="0"/>
              <w:right w:val="single" w:color="auto" w:sz="4" w:space="0"/>
            </w:tcBorders>
            <w:shd w:val="clear" w:color="auto" w:fill="auto"/>
            <w:vAlign w:val="center"/>
          </w:tcPr>
          <w:p>
            <w:pPr>
              <w:widowControl/>
              <w:jc w:val="left"/>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流量套餐为不限量</w:t>
            </w:r>
          </w:p>
        </w:tc>
        <w:tc>
          <w:tcPr>
            <w:tcW w:w="707"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个</w:t>
            </w:r>
          </w:p>
        </w:tc>
        <w:tc>
          <w:tcPr>
            <w:tcW w:w="653"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10</w:t>
            </w:r>
          </w:p>
        </w:tc>
      </w:tr>
    </w:tbl>
    <w:p>
      <w:pPr>
        <w:pStyle w:val="32"/>
        <w:spacing w:before="120" w:beforeLines="50"/>
        <w:ind w:firstLine="420"/>
        <w:rPr>
          <w:rFonts w:ascii="Times New Roman" w:hAnsi="Times New Roman"/>
          <w:bCs/>
          <w:color w:val="000000"/>
          <w:kern w:val="0"/>
          <w:szCs w:val="21"/>
        </w:rPr>
      </w:pPr>
      <w:r>
        <w:rPr>
          <w:rFonts w:ascii="Times New Roman" w:hAnsi="Times New Roman"/>
          <w:bCs/>
          <w:color w:val="000000"/>
          <w:kern w:val="0"/>
          <w:szCs w:val="21"/>
        </w:rPr>
        <w:t>注：最终链路数以实际建设需求为准。</w:t>
      </w:r>
    </w:p>
    <w:p>
      <w:pPr>
        <w:pStyle w:val="3"/>
        <w:spacing w:before="120" w:beforeLines="50" w:after="120" w:afterLines="50" w:line="360" w:lineRule="auto"/>
        <w:rPr>
          <w:rFonts w:ascii="Times New Roman" w:hAnsi="Times New Roman" w:eastAsia="黑体" w:cs="Times New Roman"/>
          <w:b w:val="0"/>
          <w:sz w:val="30"/>
          <w:szCs w:val="30"/>
          <w:highlight w:val="yellow"/>
        </w:rPr>
      </w:pPr>
      <w:bookmarkStart w:id="55" w:name="_Toc535150764"/>
      <w:bookmarkStart w:id="56" w:name="_Toc536694690"/>
      <w:bookmarkStart w:id="57" w:name="_Toc536694748"/>
      <w:r>
        <w:rPr>
          <w:rFonts w:ascii="Times New Roman" w:hAnsi="Times New Roman" w:eastAsia="黑体" w:cs="Times New Roman"/>
          <w:b w:val="0"/>
          <w:sz w:val="30"/>
          <w:szCs w:val="30"/>
        </w:rPr>
        <w:t>4.2、</w:t>
      </w:r>
      <w:bookmarkEnd w:id="55"/>
      <w:r>
        <w:rPr>
          <w:rFonts w:ascii="Times New Roman" w:hAnsi="Times New Roman" w:eastAsia="黑体" w:cs="Times New Roman"/>
          <w:b w:val="0"/>
          <w:sz w:val="30"/>
          <w:szCs w:val="30"/>
        </w:rPr>
        <w:t>社会治理物联网交互应用系统</w:t>
      </w:r>
      <w:bookmarkEnd w:id="56"/>
      <w:bookmarkEnd w:id="57"/>
    </w:p>
    <w:tbl>
      <w:tblPr>
        <w:tblStyle w:val="16"/>
        <w:tblW w:w="8302" w:type="dxa"/>
        <w:tblInd w:w="0" w:type="dxa"/>
        <w:tblLayout w:type="fixed"/>
        <w:tblCellMar>
          <w:top w:w="0" w:type="dxa"/>
          <w:left w:w="108" w:type="dxa"/>
          <w:bottom w:w="0" w:type="dxa"/>
          <w:right w:w="108" w:type="dxa"/>
        </w:tblCellMar>
      </w:tblPr>
      <w:tblGrid>
        <w:gridCol w:w="650"/>
        <w:gridCol w:w="649"/>
        <w:gridCol w:w="5708"/>
        <w:gridCol w:w="649"/>
        <w:gridCol w:w="646"/>
      </w:tblGrid>
      <w:tr>
        <w:tblPrEx>
          <w:tblLayout w:type="fixed"/>
          <w:tblCellMar>
            <w:top w:w="0" w:type="dxa"/>
            <w:left w:w="108" w:type="dxa"/>
            <w:bottom w:w="0" w:type="dxa"/>
            <w:right w:w="108" w:type="dxa"/>
          </w:tblCellMar>
        </w:tblPrEx>
        <w:trPr>
          <w:trHeight w:val="600" w:hRule="atLeast"/>
          <w:tblHeader/>
        </w:trPr>
        <w:tc>
          <w:tcPr>
            <w:tcW w:w="65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imes New Roman" w:hAnsi="Times New Roman" w:eastAsia="宋体" w:cs="Times New Roman"/>
                <w:b/>
                <w:bCs/>
                <w:kern w:val="0"/>
                <w:szCs w:val="21"/>
              </w:rPr>
            </w:pPr>
            <w:r>
              <w:rPr>
                <w:rFonts w:ascii="Times New Roman" w:hAnsi="Times New Roman" w:eastAsia="宋体" w:cs="Times New Roman"/>
                <w:b/>
                <w:bCs/>
                <w:kern w:val="0"/>
                <w:szCs w:val="21"/>
              </w:rPr>
              <w:t>序号</w:t>
            </w:r>
          </w:p>
        </w:tc>
        <w:tc>
          <w:tcPr>
            <w:tcW w:w="649" w:type="dxa"/>
            <w:tcBorders>
              <w:top w:val="single" w:color="auto" w:sz="4" w:space="0"/>
              <w:left w:val="nil"/>
              <w:bottom w:val="single" w:color="auto" w:sz="4" w:space="0"/>
              <w:right w:val="single" w:color="auto" w:sz="4" w:space="0"/>
            </w:tcBorders>
            <w:shd w:val="clear" w:color="auto" w:fill="auto"/>
            <w:vAlign w:val="center"/>
          </w:tcPr>
          <w:p>
            <w:pPr>
              <w:widowControl/>
              <w:spacing w:line="360" w:lineRule="auto"/>
              <w:jc w:val="center"/>
              <w:rPr>
                <w:rFonts w:ascii="Times New Roman" w:hAnsi="Times New Roman" w:eastAsia="宋体" w:cs="Times New Roman"/>
                <w:b/>
                <w:bCs/>
                <w:kern w:val="0"/>
                <w:szCs w:val="21"/>
              </w:rPr>
            </w:pPr>
            <w:r>
              <w:rPr>
                <w:rFonts w:ascii="Times New Roman" w:hAnsi="Times New Roman" w:eastAsia="宋体" w:cs="Times New Roman"/>
                <w:b/>
                <w:bCs/>
                <w:kern w:val="0"/>
                <w:szCs w:val="21"/>
              </w:rPr>
              <w:t>设备名称</w:t>
            </w:r>
          </w:p>
        </w:tc>
        <w:tc>
          <w:tcPr>
            <w:tcW w:w="5708" w:type="dxa"/>
            <w:tcBorders>
              <w:top w:val="single" w:color="auto" w:sz="4" w:space="0"/>
              <w:left w:val="nil"/>
              <w:bottom w:val="single" w:color="auto" w:sz="4" w:space="0"/>
              <w:right w:val="single" w:color="auto" w:sz="4" w:space="0"/>
            </w:tcBorders>
            <w:shd w:val="clear" w:color="auto" w:fill="auto"/>
            <w:vAlign w:val="center"/>
          </w:tcPr>
          <w:p>
            <w:pPr>
              <w:widowControl/>
              <w:spacing w:line="360" w:lineRule="auto"/>
              <w:jc w:val="center"/>
              <w:rPr>
                <w:rFonts w:ascii="Times New Roman" w:hAnsi="Times New Roman" w:eastAsia="宋体" w:cs="Times New Roman"/>
                <w:b/>
                <w:bCs/>
                <w:kern w:val="0"/>
                <w:szCs w:val="21"/>
              </w:rPr>
            </w:pPr>
            <w:r>
              <w:rPr>
                <w:rFonts w:ascii="Times New Roman" w:hAnsi="Times New Roman" w:eastAsia="宋体" w:cs="Times New Roman"/>
                <w:b/>
                <w:bCs/>
                <w:kern w:val="0"/>
                <w:szCs w:val="21"/>
              </w:rPr>
              <w:t>技术指标</w:t>
            </w:r>
          </w:p>
        </w:tc>
        <w:tc>
          <w:tcPr>
            <w:tcW w:w="649" w:type="dxa"/>
            <w:tcBorders>
              <w:top w:val="single" w:color="auto" w:sz="4" w:space="0"/>
              <w:left w:val="nil"/>
              <w:bottom w:val="single" w:color="auto" w:sz="4" w:space="0"/>
              <w:right w:val="single" w:color="auto" w:sz="4" w:space="0"/>
            </w:tcBorders>
            <w:shd w:val="clear" w:color="auto" w:fill="auto"/>
            <w:vAlign w:val="center"/>
          </w:tcPr>
          <w:p>
            <w:pPr>
              <w:widowControl/>
              <w:spacing w:line="360" w:lineRule="auto"/>
              <w:jc w:val="center"/>
              <w:rPr>
                <w:rFonts w:ascii="Times New Roman" w:hAnsi="Times New Roman" w:eastAsia="宋体" w:cs="Times New Roman"/>
                <w:b/>
                <w:bCs/>
                <w:kern w:val="0"/>
                <w:szCs w:val="21"/>
              </w:rPr>
            </w:pPr>
            <w:r>
              <w:rPr>
                <w:rFonts w:ascii="Times New Roman" w:hAnsi="Times New Roman" w:eastAsia="宋体" w:cs="Times New Roman"/>
                <w:b/>
                <w:bCs/>
                <w:kern w:val="0"/>
                <w:szCs w:val="21"/>
              </w:rPr>
              <w:t>单位</w:t>
            </w:r>
          </w:p>
        </w:tc>
        <w:tc>
          <w:tcPr>
            <w:tcW w:w="646" w:type="dxa"/>
            <w:tcBorders>
              <w:top w:val="single" w:color="auto" w:sz="4" w:space="0"/>
              <w:left w:val="nil"/>
              <w:bottom w:val="single" w:color="auto" w:sz="4" w:space="0"/>
              <w:right w:val="single" w:color="auto" w:sz="4" w:space="0"/>
            </w:tcBorders>
            <w:shd w:val="clear" w:color="auto" w:fill="auto"/>
            <w:vAlign w:val="center"/>
          </w:tcPr>
          <w:p>
            <w:pPr>
              <w:widowControl/>
              <w:spacing w:line="360" w:lineRule="auto"/>
              <w:jc w:val="center"/>
              <w:rPr>
                <w:rFonts w:ascii="Times New Roman" w:hAnsi="Times New Roman" w:eastAsia="宋体" w:cs="Times New Roman"/>
                <w:b/>
                <w:bCs/>
                <w:kern w:val="0"/>
                <w:szCs w:val="21"/>
              </w:rPr>
            </w:pPr>
            <w:r>
              <w:rPr>
                <w:rFonts w:ascii="Times New Roman" w:hAnsi="Times New Roman" w:eastAsia="宋体" w:cs="Times New Roman"/>
                <w:b/>
                <w:bCs/>
                <w:kern w:val="0"/>
                <w:szCs w:val="21"/>
              </w:rPr>
              <w:t>数量</w:t>
            </w:r>
          </w:p>
        </w:tc>
      </w:tr>
      <w:tr>
        <w:tblPrEx>
          <w:tblLayout w:type="fixed"/>
          <w:tblCellMar>
            <w:top w:w="0" w:type="dxa"/>
            <w:left w:w="108" w:type="dxa"/>
            <w:bottom w:w="0" w:type="dxa"/>
            <w:right w:w="108" w:type="dxa"/>
          </w:tblCellMar>
        </w:tblPrEx>
        <w:trPr>
          <w:trHeight w:val="600" w:hRule="atLeast"/>
        </w:trPr>
        <w:tc>
          <w:tcPr>
            <w:tcW w:w="650" w:type="dxa"/>
            <w:tcBorders>
              <w:top w:val="nil"/>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imes New Roman" w:hAnsi="Times New Roman" w:eastAsia="宋体" w:cs="Times New Roman"/>
                <w:kern w:val="0"/>
                <w:szCs w:val="21"/>
              </w:rPr>
            </w:pPr>
            <w:r>
              <w:rPr>
                <w:rFonts w:ascii="Times New Roman" w:hAnsi="Times New Roman" w:eastAsia="宋体" w:cs="Times New Roman"/>
                <w:kern w:val="0"/>
                <w:szCs w:val="21"/>
              </w:rPr>
              <w:t>一</w:t>
            </w:r>
          </w:p>
        </w:tc>
        <w:tc>
          <w:tcPr>
            <w:tcW w:w="6357" w:type="dxa"/>
            <w:gridSpan w:val="2"/>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Times New Roman" w:hAnsi="Times New Roman" w:eastAsia="宋体" w:cs="Times New Roman"/>
                <w:kern w:val="0"/>
                <w:szCs w:val="21"/>
              </w:rPr>
            </w:pPr>
            <w:r>
              <w:rPr>
                <w:rFonts w:ascii="Times New Roman" w:hAnsi="Times New Roman" w:eastAsia="宋体" w:cs="Times New Roman"/>
                <w:b/>
                <w:bCs/>
                <w:kern w:val="0"/>
                <w:szCs w:val="21"/>
              </w:rPr>
              <w:t>资源整合系统</w:t>
            </w:r>
            <w:r>
              <w:rPr>
                <w:rFonts w:ascii="Times New Roman" w:hAnsi="Times New Roman" w:eastAsia="宋体" w:cs="Times New Roman"/>
                <w:kern w:val="0"/>
                <w:szCs w:val="21"/>
              </w:rPr>
              <w:t>　</w:t>
            </w:r>
          </w:p>
        </w:tc>
        <w:tc>
          <w:tcPr>
            <w:tcW w:w="649"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Times New Roman" w:hAnsi="Times New Roman" w:eastAsia="宋体" w:cs="Times New Roman"/>
                <w:kern w:val="0"/>
                <w:szCs w:val="21"/>
              </w:rPr>
            </w:pPr>
            <w:r>
              <w:rPr>
                <w:rFonts w:ascii="Times New Roman" w:hAnsi="Times New Roman" w:eastAsia="宋体" w:cs="Times New Roman"/>
                <w:kern w:val="0"/>
                <w:szCs w:val="21"/>
              </w:rPr>
              <w:t>　</w:t>
            </w:r>
          </w:p>
        </w:tc>
        <w:tc>
          <w:tcPr>
            <w:tcW w:w="646"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Times New Roman" w:hAnsi="Times New Roman" w:eastAsia="宋体" w:cs="Times New Roman"/>
                <w:kern w:val="0"/>
                <w:szCs w:val="21"/>
              </w:rPr>
            </w:pPr>
            <w:r>
              <w:rPr>
                <w:rFonts w:ascii="Times New Roman" w:hAnsi="Times New Roman" w:eastAsia="宋体" w:cs="Times New Roman"/>
                <w:kern w:val="0"/>
                <w:szCs w:val="21"/>
              </w:rPr>
              <w:t>　</w:t>
            </w:r>
          </w:p>
        </w:tc>
      </w:tr>
      <w:tr>
        <w:tblPrEx>
          <w:tblLayout w:type="fixed"/>
          <w:tblCellMar>
            <w:top w:w="0" w:type="dxa"/>
            <w:left w:w="108" w:type="dxa"/>
            <w:bottom w:w="0" w:type="dxa"/>
            <w:right w:w="108" w:type="dxa"/>
          </w:tblCellMar>
        </w:tblPrEx>
        <w:trPr>
          <w:trHeight w:val="600" w:hRule="atLeast"/>
        </w:trPr>
        <w:tc>
          <w:tcPr>
            <w:tcW w:w="650" w:type="dxa"/>
            <w:tcBorders>
              <w:top w:val="nil"/>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1</w:t>
            </w:r>
          </w:p>
        </w:tc>
        <w:tc>
          <w:tcPr>
            <w:tcW w:w="649"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 xml:space="preserve"> 视频整合系统 </w:t>
            </w:r>
          </w:p>
        </w:tc>
        <w:tc>
          <w:tcPr>
            <w:tcW w:w="5708"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系统支持不少于1万路视频监控点位管理，支持不少于5000路接入授权，支持不少于250路视频监控图像的并发调用。</w:t>
            </w:r>
          </w:p>
          <w:p>
            <w:pPr>
              <w:widowControl/>
              <w:spacing w:line="360" w:lineRule="auto"/>
              <w:jc w:val="left"/>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（1）平台采用Linux操作系统；</w:t>
            </w:r>
          </w:p>
          <w:p>
            <w:pPr>
              <w:widowControl/>
              <w:spacing w:line="360" w:lineRule="auto"/>
              <w:jc w:val="left"/>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（2） 支持对各管理服务器、存储、编解码器、网络摄像机的统一管理；</w:t>
            </w:r>
          </w:p>
          <w:p>
            <w:pPr>
              <w:widowControl/>
              <w:spacing w:line="360" w:lineRule="auto"/>
              <w:jc w:val="left"/>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（3） 支持用户配置、用户登录、认证、管理等各种管理功能；</w:t>
            </w:r>
          </w:p>
          <w:p>
            <w:pPr>
              <w:widowControl/>
              <w:spacing w:line="360" w:lineRule="auto"/>
              <w:jc w:val="left"/>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（4） 支持基于角色的用户权限管理：用户按角色分配权限；支持报警联动功能：在发生报警时，配合前端设备，能够联动实时视频、上墙、抓拍、存储、报警预录、语音对讲、回放、云台预置位、短信、邮件等；</w:t>
            </w:r>
          </w:p>
          <w:p>
            <w:pPr>
              <w:widowControl/>
              <w:spacing w:line="360" w:lineRule="auto"/>
              <w:jc w:val="left"/>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（5） 支持日志管理功能，记录系统内设备启动、自检、异常、故障、恢复、关闭等状态信息及发生时间；</w:t>
            </w:r>
          </w:p>
          <w:p>
            <w:pPr>
              <w:widowControl/>
              <w:spacing w:line="360" w:lineRule="auto"/>
              <w:jc w:val="left"/>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（6）符合GB/T 28181-2016标准；</w:t>
            </w:r>
          </w:p>
          <w:p>
            <w:pPr>
              <w:widowControl/>
              <w:spacing w:line="360" w:lineRule="auto"/>
              <w:jc w:val="left"/>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（7）软件与硬件解耦部署，免费提供与第三方平台应用对接服务，包含流媒体软件、网关接入软件等实现平台所有功能的软件和支撑模块。</w:t>
            </w:r>
          </w:p>
        </w:tc>
        <w:tc>
          <w:tcPr>
            <w:tcW w:w="649"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 xml:space="preserve"> 套 </w:t>
            </w:r>
          </w:p>
        </w:tc>
        <w:tc>
          <w:tcPr>
            <w:tcW w:w="646"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1</w:t>
            </w:r>
          </w:p>
        </w:tc>
      </w:tr>
      <w:tr>
        <w:tblPrEx>
          <w:tblLayout w:type="fixed"/>
          <w:tblCellMar>
            <w:top w:w="0" w:type="dxa"/>
            <w:left w:w="108" w:type="dxa"/>
            <w:bottom w:w="0" w:type="dxa"/>
            <w:right w:w="108" w:type="dxa"/>
          </w:tblCellMar>
        </w:tblPrEx>
        <w:trPr>
          <w:trHeight w:val="600" w:hRule="atLeast"/>
        </w:trPr>
        <w:tc>
          <w:tcPr>
            <w:tcW w:w="650" w:type="dxa"/>
            <w:tcBorders>
              <w:top w:val="nil"/>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2</w:t>
            </w:r>
          </w:p>
        </w:tc>
        <w:tc>
          <w:tcPr>
            <w:tcW w:w="649"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 xml:space="preserve"> 视频管理服务器 </w:t>
            </w:r>
          </w:p>
        </w:tc>
        <w:tc>
          <w:tcPr>
            <w:tcW w:w="5708"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Times New Roman" w:hAnsi="Times New Roman" w:eastAsia="宋体" w:cs="Times New Roman"/>
                <w:kern w:val="0"/>
                <w:szCs w:val="21"/>
              </w:rPr>
            </w:pPr>
            <w:r>
              <w:rPr>
                <w:rFonts w:ascii="Times New Roman" w:hAnsi="Times New Roman" w:eastAsia="宋体" w:cs="Times New Roman"/>
                <w:kern w:val="0"/>
                <w:szCs w:val="21"/>
              </w:rPr>
              <w:t>（1）2U机架式服务器；</w:t>
            </w:r>
            <w:r>
              <w:rPr>
                <w:rFonts w:ascii="Times New Roman" w:hAnsi="Times New Roman" w:eastAsia="宋体" w:cs="Times New Roman"/>
                <w:kern w:val="0"/>
                <w:szCs w:val="21"/>
              </w:rPr>
              <w:br w:type="textWrapping"/>
            </w:r>
            <w:r>
              <w:rPr>
                <w:rFonts w:ascii="Times New Roman" w:hAnsi="Times New Roman" w:eastAsia="宋体" w:cs="Times New Roman"/>
                <w:kern w:val="0"/>
                <w:szCs w:val="21"/>
              </w:rPr>
              <w:t>（2）配置不低于2颗E5-2640V4系列CPU（处理器核数≥10核，主频≥2.4GHz）；</w:t>
            </w:r>
            <w:r>
              <w:rPr>
                <w:rFonts w:ascii="Times New Roman" w:hAnsi="Times New Roman" w:eastAsia="宋体" w:cs="Times New Roman"/>
                <w:kern w:val="0"/>
                <w:szCs w:val="21"/>
              </w:rPr>
              <w:br w:type="textWrapping"/>
            </w:r>
            <w:r>
              <w:rPr>
                <w:rFonts w:ascii="Times New Roman" w:hAnsi="Times New Roman" w:eastAsia="宋体" w:cs="Times New Roman"/>
                <w:kern w:val="0"/>
                <w:szCs w:val="21"/>
              </w:rPr>
              <w:t>（3）配置不少于64GB DDR4内存；</w:t>
            </w:r>
            <w:r>
              <w:rPr>
                <w:rFonts w:ascii="Times New Roman" w:hAnsi="Times New Roman" w:eastAsia="宋体" w:cs="Times New Roman"/>
                <w:kern w:val="0"/>
                <w:szCs w:val="21"/>
              </w:rPr>
              <w:br w:type="textWrapping"/>
            </w:r>
            <w:r>
              <w:rPr>
                <w:rFonts w:ascii="Times New Roman" w:hAnsi="Times New Roman" w:eastAsia="宋体" w:cs="Times New Roman"/>
                <w:kern w:val="0"/>
                <w:szCs w:val="21"/>
              </w:rPr>
              <w:t>（4）配置不少于4块1200GB 10K SAS硬盘，RAID1，2GB掉电缓存；</w:t>
            </w:r>
            <w:r>
              <w:rPr>
                <w:rFonts w:ascii="Times New Roman" w:hAnsi="Times New Roman" w:eastAsia="宋体" w:cs="Times New Roman"/>
                <w:kern w:val="0"/>
                <w:szCs w:val="21"/>
              </w:rPr>
              <w:br w:type="textWrapping"/>
            </w:r>
            <w:r>
              <w:rPr>
                <w:rFonts w:ascii="Times New Roman" w:hAnsi="Times New Roman" w:eastAsia="宋体" w:cs="Times New Roman"/>
                <w:kern w:val="0"/>
                <w:szCs w:val="21"/>
              </w:rPr>
              <w:t>（5）配置不少于4*GE接口；</w:t>
            </w:r>
            <w:r>
              <w:rPr>
                <w:rFonts w:ascii="Times New Roman" w:hAnsi="Times New Roman" w:eastAsia="宋体" w:cs="Times New Roman"/>
                <w:kern w:val="0"/>
                <w:szCs w:val="21"/>
              </w:rPr>
              <w:br w:type="textWrapping"/>
            </w:r>
            <w:r>
              <w:rPr>
                <w:rFonts w:ascii="Times New Roman" w:hAnsi="Times New Roman" w:eastAsia="宋体" w:cs="Times New Roman"/>
                <w:kern w:val="0"/>
                <w:szCs w:val="21"/>
              </w:rPr>
              <w:t>（6）冗余电源。</w:t>
            </w:r>
          </w:p>
        </w:tc>
        <w:tc>
          <w:tcPr>
            <w:tcW w:w="649"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 xml:space="preserve"> 台 </w:t>
            </w:r>
          </w:p>
        </w:tc>
        <w:tc>
          <w:tcPr>
            <w:tcW w:w="646"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1</w:t>
            </w:r>
          </w:p>
        </w:tc>
      </w:tr>
      <w:tr>
        <w:tblPrEx>
          <w:tblLayout w:type="fixed"/>
          <w:tblCellMar>
            <w:top w:w="0" w:type="dxa"/>
            <w:left w:w="108" w:type="dxa"/>
            <w:bottom w:w="0" w:type="dxa"/>
            <w:right w:w="108" w:type="dxa"/>
          </w:tblCellMar>
        </w:tblPrEx>
        <w:trPr>
          <w:trHeight w:val="600" w:hRule="atLeast"/>
        </w:trPr>
        <w:tc>
          <w:tcPr>
            <w:tcW w:w="650" w:type="dxa"/>
            <w:tcBorders>
              <w:top w:val="nil"/>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3</w:t>
            </w:r>
          </w:p>
        </w:tc>
        <w:tc>
          <w:tcPr>
            <w:tcW w:w="649"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 xml:space="preserve"> 数据库服务器 </w:t>
            </w:r>
          </w:p>
        </w:tc>
        <w:tc>
          <w:tcPr>
            <w:tcW w:w="5708"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Times New Roman" w:hAnsi="Times New Roman" w:eastAsia="宋体" w:cs="Times New Roman"/>
                <w:kern w:val="0"/>
                <w:szCs w:val="21"/>
              </w:rPr>
            </w:pPr>
            <w:r>
              <w:rPr>
                <w:rFonts w:ascii="Times New Roman" w:hAnsi="Times New Roman" w:eastAsia="宋体" w:cs="Times New Roman"/>
                <w:kern w:val="0"/>
                <w:szCs w:val="21"/>
              </w:rPr>
              <w:t>（1）2U机架式服务器；</w:t>
            </w:r>
            <w:r>
              <w:rPr>
                <w:rFonts w:ascii="Times New Roman" w:hAnsi="Times New Roman" w:eastAsia="宋体" w:cs="Times New Roman"/>
                <w:kern w:val="0"/>
                <w:szCs w:val="21"/>
              </w:rPr>
              <w:br w:type="textWrapping"/>
            </w:r>
            <w:r>
              <w:rPr>
                <w:rFonts w:ascii="Times New Roman" w:hAnsi="Times New Roman" w:eastAsia="宋体" w:cs="Times New Roman"/>
                <w:kern w:val="0"/>
                <w:szCs w:val="21"/>
              </w:rPr>
              <w:t>（2）配置不低于2颗E5-2640V4系列CPU（处理器核数≥10核，主频≥2.4GHz）；</w:t>
            </w:r>
            <w:r>
              <w:rPr>
                <w:rFonts w:ascii="Times New Roman" w:hAnsi="Times New Roman" w:eastAsia="宋体" w:cs="Times New Roman"/>
                <w:kern w:val="0"/>
                <w:szCs w:val="21"/>
              </w:rPr>
              <w:br w:type="textWrapping"/>
            </w:r>
            <w:r>
              <w:rPr>
                <w:rFonts w:ascii="Times New Roman" w:hAnsi="Times New Roman" w:eastAsia="宋体" w:cs="Times New Roman"/>
                <w:kern w:val="0"/>
                <w:szCs w:val="21"/>
              </w:rPr>
              <w:t>（3）配置不少于64GB DDR4内存；</w:t>
            </w:r>
            <w:r>
              <w:rPr>
                <w:rFonts w:ascii="Times New Roman" w:hAnsi="Times New Roman" w:eastAsia="宋体" w:cs="Times New Roman"/>
                <w:kern w:val="0"/>
                <w:szCs w:val="21"/>
              </w:rPr>
              <w:br w:type="textWrapping"/>
            </w:r>
            <w:r>
              <w:rPr>
                <w:rFonts w:ascii="Times New Roman" w:hAnsi="Times New Roman" w:eastAsia="宋体" w:cs="Times New Roman"/>
                <w:kern w:val="0"/>
                <w:szCs w:val="21"/>
              </w:rPr>
              <w:t>（4）配置不少于4块1200GB 10K SAS硬盘，RAID1，2GB掉电缓存；</w:t>
            </w:r>
            <w:r>
              <w:rPr>
                <w:rFonts w:ascii="Times New Roman" w:hAnsi="Times New Roman" w:eastAsia="宋体" w:cs="Times New Roman"/>
                <w:kern w:val="0"/>
                <w:szCs w:val="21"/>
              </w:rPr>
              <w:br w:type="textWrapping"/>
            </w:r>
            <w:r>
              <w:rPr>
                <w:rFonts w:ascii="Times New Roman" w:hAnsi="Times New Roman" w:eastAsia="宋体" w:cs="Times New Roman"/>
                <w:kern w:val="0"/>
                <w:szCs w:val="21"/>
              </w:rPr>
              <w:t>（5）配置不少于4*GE接口；</w:t>
            </w:r>
            <w:r>
              <w:rPr>
                <w:rFonts w:ascii="Times New Roman" w:hAnsi="Times New Roman" w:eastAsia="宋体" w:cs="Times New Roman"/>
                <w:kern w:val="0"/>
                <w:szCs w:val="21"/>
              </w:rPr>
              <w:br w:type="textWrapping"/>
            </w:r>
            <w:r>
              <w:rPr>
                <w:rFonts w:ascii="Times New Roman" w:hAnsi="Times New Roman" w:eastAsia="宋体" w:cs="Times New Roman"/>
                <w:kern w:val="0"/>
                <w:szCs w:val="21"/>
              </w:rPr>
              <w:t>（6）冗余电源。</w:t>
            </w:r>
          </w:p>
        </w:tc>
        <w:tc>
          <w:tcPr>
            <w:tcW w:w="649"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 xml:space="preserve"> 台 </w:t>
            </w:r>
          </w:p>
        </w:tc>
        <w:tc>
          <w:tcPr>
            <w:tcW w:w="646"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1</w:t>
            </w:r>
          </w:p>
        </w:tc>
      </w:tr>
      <w:tr>
        <w:tblPrEx>
          <w:tblLayout w:type="fixed"/>
          <w:tblCellMar>
            <w:top w:w="0" w:type="dxa"/>
            <w:left w:w="108" w:type="dxa"/>
            <w:bottom w:w="0" w:type="dxa"/>
            <w:right w:w="108" w:type="dxa"/>
          </w:tblCellMar>
        </w:tblPrEx>
        <w:trPr>
          <w:trHeight w:val="600" w:hRule="atLeast"/>
        </w:trPr>
        <w:tc>
          <w:tcPr>
            <w:tcW w:w="650" w:type="dxa"/>
            <w:tcBorders>
              <w:top w:val="nil"/>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4</w:t>
            </w:r>
          </w:p>
        </w:tc>
        <w:tc>
          <w:tcPr>
            <w:tcW w:w="649"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 xml:space="preserve"> 流媒体服务器 </w:t>
            </w:r>
          </w:p>
        </w:tc>
        <w:tc>
          <w:tcPr>
            <w:tcW w:w="5708"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Times New Roman" w:hAnsi="Times New Roman" w:eastAsia="宋体" w:cs="Times New Roman"/>
                <w:kern w:val="0"/>
                <w:szCs w:val="21"/>
              </w:rPr>
            </w:pPr>
            <w:r>
              <w:rPr>
                <w:rFonts w:ascii="Times New Roman" w:hAnsi="Times New Roman" w:eastAsia="宋体" w:cs="Times New Roman"/>
                <w:kern w:val="0"/>
                <w:szCs w:val="21"/>
              </w:rPr>
              <w:t>（1）2U机架式服务器；</w:t>
            </w:r>
            <w:r>
              <w:rPr>
                <w:rFonts w:ascii="Times New Roman" w:hAnsi="Times New Roman" w:eastAsia="宋体" w:cs="Times New Roman"/>
                <w:kern w:val="0"/>
                <w:szCs w:val="21"/>
              </w:rPr>
              <w:br w:type="textWrapping"/>
            </w:r>
            <w:r>
              <w:rPr>
                <w:rFonts w:ascii="Times New Roman" w:hAnsi="Times New Roman" w:eastAsia="宋体" w:cs="Times New Roman"/>
                <w:kern w:val="0"/>
                <w:szCs w:val="21"/>
              </w:rPr>
              <w:t>（2）配置不低于2颗E5-2620V4系列的CPU（处理器核数≥8核，主频≥2.1GHz）；</w:t>
            </w:r>
            <w:r>
              <w:rPr>
                <w:rFonts w:ascii="Times New Roman" w:hAnsi="Times New Roman" w:eastAsia="宋体" w:cs="Times New Roman"/>
                <w:kern w:val="0"/>
                <w:szCs w:val="21"/>
              </w:rPr>
              <w:br w:type="textWrapping"/>
            </w:r>
            <w:r>
              <w:rPr>
                <w:rFonts w:ascii="Times New Roman" w:hAnsi="Times New Roman" w:eastAsia="宋体" w:cs="Times New Roman"/>
                <w:kern w:val="0"/>
                <w:szCs w:val="21"/>
              </w:rPr>
              <w:t>（3）配置不少于32GB DDR4内存；</w:t>
            </w:r>
            <w:r>
              <w:rPr>
                <w:rFonts w:ascii="Times New Roman" w:hAnsi="Times New Roman" w:eastAsia="宋体" w:cs="Times New Roman"/>
                <w:kern w:val="0"/>
                <w:szCs w:val="21"/>
              </w:rPr>
              <w:br w:type="textWrapping"/>
            </w:r>
            <w:r>
              <w:rPr>
                <w:rFonts w:ascii="Times New Roman" w:hAnsi="Times New Roman" w:eastAsia="宋体" w:cs="Times New Roman"/>
                <w:kern w:val="0"/>
                <w:szCs w:val="21"/>
              </w:rPr>
              <w:t>（4）配置不少于2块1200GB 10K SAS硬盘；RAID1，2GB掉电缓存；</w:t>
            </w:r>
            <w:r>
              <w:rPr>
                <w:rFonts w:ascii="Times New Roman" w:hAnsi="Times New Roman" w:eastAsia="宋体" w:cs="Times New Roman"/>
                <w:kern w:val="0"/>
                <w:szCs w:val="21"/>
              </w:rPr>
              <w:br w:type="textWrapping"/>
            </w:r>
            <w:r>
              <w:rPr>
                <w:rFonts w:ascii="Times New Roman" w:hAnsi="Times New Roman" w:eastAsia="宋体" w:cs="Times New Roman"/>
                <w:kern w:val="0"/>
                <w:szCs w:val="21"/>
              </w:rPr>
              <w:t>（5）配置不少于4*GE接口；</w:t>
            </w:r>
            <w:r>
              <w:rPr>
                <w:rFonts w:ascii="Times New Roman" w:hAnsi="Times New Roman" w:eastAsia="宋体" w:cs="Times New Roman"/>
                <w:kern w:val="0"/>
                <w:szCs w:val="21"/>
              </w:rPr>
              <w:br w:type="textWrapping"/>
            </w:r>
            <w:r>
              <w:rPr>
                <w:rFonts w:ascii="Times New Roman" w:hAnsi="Times New Roman" w:eastAsia="宋体" w:cs="Times New Roman"/>
                <w:kern w:val="0"/>
                <w:szCs w:val="21"/>
              </w:rPr>
              <w:t>（6）冗余电源。</w:t>
            </w:r>
          </w:p>
        </w:tc>
        <w:tc>
          <w:tcPr>
            <w:tcW w:w="649"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 xml:space="preserve"> 台 </w:t>
            </w:r>
          </w:p>
        </w:tc>
        <w:tc>
          <w:tcPr>
            <w:tcW w:w="646"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2</w:t>
            </w:r>
          </w:p>
        </w:tc>
      </w:tr>
      <w:tr>
        <w:tblPrEx>
          <w:tblLayout w:type="fixed"/>
          <w:tblCellMar>
            <w:top w:w="0" w:type="dxa"/>
            <w:left w:w="108" w:type="dxa"/>
            <w:bottom w:w="0" w:type="dxa"/>
            <w:right w:w="108" w:type="dxa"/>
          </w:tblCellMar>
        </w:tblPrEx>
        <w:trPr>
          <w:trHeight w:val="600" w:hRule="atLeast"/>
        </w:trPr>
        <w:tc>
          <w:tcPr>
            <w:tcW w:w="650" w:type="dxa"/>
            <w:tcBorders>
              <w:top w:val="nil"/>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imes New Roman" w:hAnsi="Times New Roman" w:eastAsia="宋体" w:cs="Times New Roman"/>
                <w:b/>
                <w:bCs/>
                <w:color w:val="000000"/>
                <w:kern w:val="0"/>
                <w:szCs w:val="21"/>
              </w:rPr>
            </w:pPr>
            <w:r>
              <w:rPr>
                <w:rFonts w:ascii="Times New Roman" w:hAnsi="Times New Roman" w:eastAsia="宋体" w:cs="Times New Roman"/>
                <w:b/>
                <w:bCs/>
                <w:color w:val="000000"/>
                <w:kern w:val="0"/>
                <w:szCs w:val="21"/>
              </w:rPr>
              <w:t>二</w:t>
            </w:r>
          </w:p>
        </w:tc>
        <w:tc>
          <w:tcPr>
            <w:tcW w:w="6357" w:type="dxa"/>
            <w:gridSpan w:val="2"/>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Times New Roman" w:hAnsi="Times New Roman" w:eastAsia="宋体" w:cs="Times New Roman"/>
                <w:kern w:val="0"/>
                <w:szCs w:val="21"/>
              </w:rPr>
            </w:pPr>
            <w:r>
              <w:rPr>
                <w:rFonts w:ascii="Times New Roman" w:hAnsi="Times New Roman" w:eastAsia="宋体" w:cs="Times New Roman"/>
                <w:b/>
                <w:bCs/>
                <w:color w:val="000000"/>
                <w:kern w:val="0"/>
                <w:szCs w:val="21"/>
              </w:rPr>
              <w:t xml:space="preserve"> 安全防护系统 </w:t>
            </w:r>
            <w:r>
              <w:rPr>
                <w:rFonts w:ascii="Times New Roman" w:hAnsi="Times New Roman" w:eastAsia="宋体" w:cs="Times New Roman"/>
                <w:kern w:val="0"/>
                <w:szCs w:val="21"/>
              </w:rPr>
              <w:t>　</w:t>
            </w:r>
          </w:p>
        </w:tc>
        <w:tc>
          <w:tcPr>
            <w:tcW w:w="649"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　</w:t>
            </w:r>
          </w:p>
        </w:tc>
        <w:tc>
          <w:tcPr>
            <w:tcW w:w="646"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　</w:t>
            </w:r>
          </w:p>
        </w:tc>
      </w:tr>
      <w:tr>
        <w:tblPrEx>
          <w:tblLayout w:type="fixed"/>
          <w:tblCellMar>
            <w:top w:w="0" w:type="dxa"/>
            <w:left w:w="108" w:type="dxa"/>
            <w:bottom w:w="0" w:type="dxa"/>
            <w:right w:w="108" w:type="dxa"/>
          </w:tblCellMar>
        </w:tblPrEx>
        <w:trPr>
          <w:trHeight w:val="600" w:hRule="atLeast"/>
        </w:trPr>
        <w:tc>
          <w:tcPr>
            <w:tcW w:w="650" w:type="dxa"/>
            <w:tcBorders>
              <w:top w:val="nil"/>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1</w:t>
            </w:r>
          </w:p>
        </w:tc>
        <w:tc>
          <w:tcPr>
            <w:tcW w:w="649"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 xml:space="preserve"> 防火墙 </w:t>
            </w:r>
          </w:p>
        </w:tc>
        <w:tc>
          <w:tcPr>
            <w:tcW w:w="5708"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Times New Roman" w:hAnsi="Times New Roman" w:eastAsia="宋体" w:cs="Times New Roman"/>
                <w:kern w:val="0"/>
                <w:szCs w:val="21"/>
              </w:rPr>
            </w:pPr>
            <w:r>
              <w:rPr>
                <w:rFonts w:ascii="Times New Roman" w:hAnsi="Times New Roman" w:eastAsia="宋体" w:cs="Times New Roman"/>
                <w:kern w:val="0"/>
                <w:szCs w:val="21"/>
              </w:rPr>
              <w:t>（1）2U机架式软硬件一体化产品，千兆自适应电口≥4个，千兆光口≥4个，万兆光口≥2个，可支持扩展到4个万兆光口。</w:t>
            </w:r>
          </w:p>
          <w:p>
            <w:pPr>
              <w:widowControl/>
              <w:spacing w:line="360" w:lineRule="auto"/>
              <w:jc w:val="left"/>
              <w:rPr>
                <w:rFonts w:ascii="Times New Roman" w:hAnsi="Times New Roman" w:eastAsia="宋体" w:cs="Times New Roman"/>
                <w:kern w:val="0"/>
                <w:szCs w:val="21"/>
              </w:rPr>
            </w:pPr>
            <w:r>
              <w:rPr>
                <w:rFonts w:ascii="Times New Roman" w:hAnsi="Times New Roman" w:eastAsia="宋体" w:cs="Times New Roman"/>
                <w:kern w:val="0"/>
                <w:szCs w:val="21"/>
              </w:rPr>
              <w:t>（2）最大吞吐量≥8Gbps；每秒新建连接数≥10万；最大并发连接数≥200万。</w:t>
            </w:r>
          </w:p>
          <w:p>
            <w:pPr>
              <w:widowControl/>
              <w:spacing w:line="360" w:lineRule="auto"/>
              <w:jc w:val="left"/>
              <w:rPr>
                <w:rFonts w:ascii="Times New Roman" w:hAnsi="Times New Roman" w:eastAsia="宋体" w:cs="Times New Roman"/>
                <w:kern w:val="0"/>
                <w:szCs w:val="21"/>
              </w:rPr>
            </w:pPr>
            <w:r>
              <w:rPr>
                <w:rFonts w:ascii="Times New Roman" w:hAnsi="Times New Roman" w:eastAsia="宋体" w:cs="Times New Roman"/>
                <w:kern w:val="0"/>
                <w:szCs w:val="21"/>
              </w:rPr>
              <w:t>（3）支持桥接、路由、NAT、虚拟线等网络部署模式、支持PPPOE拨号设备接入，具备断线重连技术；</w:t>
            </w:r>
          </w:p>
          <w:p>
            <w:pPr>
              <w:widowControl/>
              <w:spacing w:line="360" w:lineRule="auto"/>
              <w:jc w:val="left"/>
              <w:rPr>
                <w:rFonts w:ascii="Times New Roman" w:hAnsi="Times New Roman" w:eastAsia="宋体" w:cs="Times New Roman"/>
                <w:kern w:val="0"/>
                <w:szCs w:val="21"/>
              </w:rPr>
            </w:pPr>
            <w:r>
              <w:rPr>
                <w:rFonts w:ascii="Times New Roman" w:hAnsi="Times New Roman" w:eastAsia="宋体" w:cs="Times New Roman"/>
                <w:kern w:val="0"/>
                <w:szCs w:val="21"/>
              </w:rPr>
              <w:t>（4）支持识别虚拟服务访问、恶意网站访问、异常域名、C&amp;C通信、对外扫描行为、异常流量等僵尸主机行为；</w:t>
            </w:r>
          </w:p>
          <w:p>
            <w:pPr>
              <w:widowControl/>
              <w:spacing w:line="360" w:lineRule="auto"/>
              <w:jc w:val="left"/>
              <w:rPr>
                <w:rFonts w:ascii="Times New Roman" w:hAnsi="Times New Roman" w:eastAsia="宋体" w:cs="Times New Roman"/>
                <w:kern w:val="0"/>
                <w:szCs w:val="21"/>
              </w:rPr>
            </w:pPr>
            <w:r>
              <w:rPr>
                <w:rFonts w:ascii="Times New Roman" w:hAnsi="Times New Roman" w:eastAsia="宋体" w:cs="Times New Roman"/>
                <w:kern w:val="0"/>
                <w:szCs w:val="21"/>
              </w:rPr>
              <w:t>（5）支持AI引擎威胁感知，实时监测变种病毒与网络恶意文件分布情况，支持查看病毒变种传输信息、文件相关信息；</w:t>
            </w:r>
          </w:p>
          <w:p>
            <w:pPr>
              <w:widowControl/>
              <w:spacing w:line="360" w:lineRule="auto"/>
              <w:jc w:val="left"/>
              <w:rPr>
                <w:rFonts w:ascii="Times New Roman" w:hAnsi="Times New Roman" w:eastAsia="宋体" w:cs="Times New Roman"/>
                <w:kern w:val="0"/>
                <w:szCs w:val="21"/>
              </w:rPr>
            </w:pPr>
            <w:r>
              <w:rPr>
                <w:rFonts w:ascii="Times New Roman" w:hAnsi="Times New Roman" w:eastAsia="宋体" w:cs="Times New Roman"/>
                <w:kern w:val="0"/>
                <w:szCs w:val="21"/>
              </w:rPr>
              <w:t>（6）支持链路聚合。</w:t>
            </w:r>
          </w:p>
          <w:p>
            <w:pPr>
              <w:widowControl/>
              <w:spacing w:line="360" w:lineRule="auto"/>
              <w:jc w:val="left"/>
              <w:rPr>
                <w:rFonts w:ascii="Times New Roman" w:hAnsi="Times New Roman" w:eastAsia="宋体" w:cs="Times New Roman"/>
                <w:kern w:val="0"/>
                <w:szCs w:val="21"/>
              </w:rPr>
            </w:pPr>
            <w:r>
              <w:rPr>
                <w:rFonts w:ascii="Times New Roman" w:hAnsi="Times New Roman" w:eastAsia="宋体" w:cs="Times New Roman"/>
                <w:kern w:val="0"/>
                <w:szCs w:val="21"/>
              </w:rPr>
              <w:t>（7）产品具备公安部《计算机信息系统安全专用产品销售许可证》。</w:t>
            </w:r>
          </w:p>
        </w:tc>
        <w:tc>
          <w:tcPr>
            <w:tcW w:w="649"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 xml:space="preserve"> 套 </w:t>
            </w:r>
          </w:p>
        </w:tc>
        <w:tc>
          <w:tcPr>
            <w:tcW w:w="646"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1</w:t>
            </w:r>
          </w:p>
        </w:tc>
      </w:tr>
      <w:tr>
        <w:tblPrEx>
          <w:tblLayout w:type="fixed"/>
          <w:tblCellMar>
            <w:top w:w="0" w:type="dxa"/>
            <w:left w:w="108" w:type="dxa"/>
            <w:bottom w:w="0" w:type="dxa"/>
            <w:right w:w="108" w:type="dxa"/>
          </w:tblCellMar>
        </w:tblPrEx>
        <w:trPr>
          <w:trHeight w:val="600" w:hRule="atLeast"/>
        </w:trPr>
        <w:tc>
          <w:tcPr>
            <w:tcW w:w="650" w:type="dxa"/>
            <w:tcBorders>
              <w:top w:val="nil"/>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2</w:t>
            </w:r>
          </w:p>
        </w:tc>
        <w:tc>
          <w:tcPr>
            <w:tcW w:w="649"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 xml:space="preserve"> 安全隔离设备 </w:t>
            </w:r>
          </w:p>
        </w:tc>
        <w:tc>
          <w:tcPr>
            <w:tcW w:w="5708"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Times New Roman" w:hAnsi="Times New Roman" w:eastAsia="宋体" w:cs="Times New Roman"/>
                <w:kern w:val="0"/>
                <w:szCs w:val="21"/>
              </w:rPr>
            </w:pPr>
            <w:r>
              <w:rPr>
                <w:rFonts w:ascii="Times New Roman" w:hAnsi="Times New Roman" w:eastAsia="宋体" w:cs="Times New Roman"/>
                <w:kern w:val="0"/>
                <w:szCs w:val="21"/>
              </w:rPr>
              <w:t>（1）标准机架式，包含视频安全隔离部分、视频接入认证部分和视频用户认证部分；</w:t>
            </w:r>
          </w:p>
          <w:p>
            <w:pPr>
              <w:widowControl/>
              <w:spacing w:line="360" w:lineRule="auto"/>
              <w:jc w:val="left"/>
              <w:rPr>
                <w:rFonts w:ascii="Times New Roman" w:hAnsi="Times New Roman" w:eastAsia="宋体" w:cs="Times New Roman"/>
                <w:kern w:val="0"/>
                <w:szCs w:val="21"/>
              </w:rPr>
            </w:pPr>
            <w:r>
              <w:rPr>
                <w:rFonts w:ascii="Times New Roman" w:hAnsi="Times New Roman" w:eastAsia="宋体" w:cs="Times New Roman"/>
                <w:kern w:val="0"/>
                <w:szCs w:val="21"/>
              </w:rPr>
              <w:t>（2）数据吞吐量≥600bps，传输延时≤50ms，支持300路2MBit/S画质图像并发；</w:t>
            </w:r>
          </w:p>
          <w:p>
            <w:pPr>
              <w:widowControl/>
              <w:spacing w:line="360" w:lineRule="auto"/>
              <w:jc w:val="left"/>
              <w:rPr>
                <w:rFonts w:ascii="Times New Roman" w:hAnsi="Times New Roman" w:eastAsia="宋体" w:cs="Times New Roman"/>
                <w:kern w:val="0"/>
                <w:szCs w:val="21"/>
              </w:rPr>
            </w:pPr>
            <w:r>
              <w:rPr>
                <w:rFonts w:ascii="Times New Roman" w:hAnsi="Times New Roman" w:eastAsia="宋体" w:cs="Times New Roman"/>
                <w:kern w:val="0"/>
                <w:szCs w:val="21"/>
              </w:rPr>
              <w:t>（3）内外网各6个千兆电口；</w:t>
            </w:r>
          </w:p>
          <w:p>
            <w:pPr>
              <w:widowControl/>
              <w:spacing w:line="360" w:lineRule="auto"/>
              <w:jc w:val="left"/>
              <w:rPr>
                <w:rFonts w:ascii="Times New Roman" w:hAnsi="Times New Roman" w:eastAsia="宋体" w:cs="Times New Roman"/>
                <w:kern w:val="0"/>
                <w:szCs w:val="21"/>
              </w:rPr>
            </w:pPr>
            <w:r>
              <w:rPr>
                <w:rFonts w:ascii="Times New Roman" w:hAnsi="Times New Roman" w:eastAsia="宋体" w:cs="Times New Roman"/>
                <w:kern w:val="0"/>
                <w:szCs w:val="21"/>
              </w:rPr>
              <w:t>（4）支持视频控制信令格式检测、视频数据格式检测、视频数据与视频控制信令分别处理和传输；</w:t>
            </w:r>
          </w:p>
          <w:p>
            <w:pPr>
              <w:widowControl/>
              <w:spacing w:line="360" w:lineRule="auto"/>
              <w:jc w:val="left"/>
              <w:rPr>
                <w:rFonts w:ascii="Times New Roman" w:hAnsi="Times New Roman" w:eastAsia="宋体" w:cs="Times New Roman"/>
                <w:kern w:val="0"/>
                <w:szCs w:val="21"/>
              </w:rPr>
            </w:pPr>
            <w:r>
              <w:rPr>
                <w:rFonts w:ascii="Times New Roman" w:hAnsi="Times New Roman" w:eastAsia="宋体" w:cs="Times New Roman"/>
                <w:kern w:val="0"/>
                <w:szCs w:val="21"/>
              </w:rPr>
              <w:t>（5）支持海康、大华、宇视、立元、信产、科达 、互信互通、华为、先进视讯、天视、博康、博路、贝尔等多种视频控制协议，可对常见视频协议的命令和参数进行分析和过滤，并可观看视频的实况、回放和云台的控制；</w:t>
            </w:r>
          </w:p>
          <w:p>
            <w:pPr>
              <w:widowControl/>
              <w:spacing w:line="360" w:lineRule="auto"/>
              <w:jc w:val="left"/>
              <w:rPr>
                <w:rFonts w:ascii="Times New Roman" w:hAnsi="Times New Roman" w:eastAsia="宋体" w:cs="Times New Roman"/>
                <w:kern w:val="0"/>
                <w:szCs w:val="21"/>
              </w:rPr>
            </w:pPr>
            <w:r>
              <w:rPr>
                <w:rFonts w:ascii="Times New Roman" w:hAnsi="Times New Roman" w:eastAsia="宋体" w:cs="Times New Roman"/>
                <w:kern w:val="0"/>
                <w:szCs w:val="21"/>
              </w:rPr>
              <w:t>（6）产品具备公安部《计算机信息系统安全专用产品销售许可证》。</w:t>
            </w:r>
          </w:p>
        </w:tc>
        <w:tc>
          <w:tcPr>
            <w:tcW w:w="649"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 xml:space="preserve"> 套 </w:t>
            </w:r>
          </w:p>
        </w:tc>
        <w:tc>
          <w:tcPr>
            <w:tcW w:w="646"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1</w:t>
            </w:r>
          </w:p>
        </w:tc>
      </w:tr>
      <w:tr>
        <w:tblPrEx>
          <w:tblLayout w:type="fixed"/>
          <w:tblCellMar>
            <w:top w:w="0" w:type="dxa"/>
            <w:left w:w="108" w:type="dxa"/>
            <w:bottom w:w="0" w:type="dxa"/>
            <w:right w:w="108" w:type="dxa"/>
          </w:tblCellMar>
        </w:tblPrEx>
        <w:trPr>
          <w:trHeight w:val="600" w:hRule="atLeast"/>
        </w:trPr>
        <w:tc>
          <w:tcPr>
            <w:tcW w:w="650" w:type="dxa"/>
            <w:tcBorders>
              <w:top w:val="nil"/>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imes New Roman" w:hAnsi="Times New Roman" w:eastAsia="宋体" w:cs="Times New Roman"/>
                <w:b/>
                <w:bCs/>
                <w:color w:val="000000"/>
                <w:kern w:val="0"/>
                <w:szCs w:val="21"/>
              </w:rPr>
            </w:pPr>
            <w:r>
              <w:rPr>
                <w:rFonts w:ascii="Times New Roman" w:hAnsi="Times New Roman" w:eastAsia="宋体" w:cs="Times New Roman"/>
                <w:b/>
                <w:bCs/>
                <w:color w:val="000000"/>
                <w:kern w:val="0"/>
                <w:szCs w:val="21"/>
              </w:rPr>
              <w:t>三</w:t>
            </w:r>
          </w:p>
        </w:tc>
        <w:tc>
          <w:tcPr>
            <w:tcW w:w="6357" w:type="dxa"/>
            <w:gridSpan w:val="2"/>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Times New Roman" w:hAnsi="Times New Roman" w:eastAsia="宋体" w:cs="Times New Roman"/>
                <w:kern w:val="0"/>
                <w:szCs w:val="21"/>
              </w:rPr>
            </w:pPr>
            <w:r>
              <w:rPr>
                <w:rFonts w:ascii="Times New Roman" w:hAnsi="Times New Roman" w:eastAsia="宋体" w:cs="Times New Roman"/>
                <w:b/>
                <w:bCs/>
                <w:color w:val="000000"/>
                <w:kern w:val="0"/>
                <w:szCs w:val="21"/>
              </w:rPr>
              <w:t xml:space="preserve"> 应用系统开发及技术服务</w:t>
            </w:r>
          </w:p>
        </w:tc>
        <w:tc>
          <w:tcPr>
            <w:tcW w:w="649"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　</w:t>
            </w:r>
          </w:p>
        </w:tc>
        <w:tc>
          <w:tcPr>
            <w:tcW w:w="646"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　</w:t>
            </w:r>
          </w:p>
        </w:tc>
      </w:tr>
      <w:tr>
        <w:tblPrEx>
          <w:tblLayout w:type="fixed"/>
          <w:tblCellMar>
            <w:top w:w="0" w:type="dxa"/>
            <w:left w:w="108" w:type="dxa"/>
            <w:bottom w:w="0" w:type="dxa"/>
            <w:right w:w="108" w:type="dxa"/>
          </w:tblCellMar>
        </w:tblPrEx>
        <w:trPr>
          <w:trHeight w:val="600" w:hRule="atLeast"/>
        </w:trPr>
        <w:tc>
          <w:tcPr>
            <w:tcW w:w="650" w:type="dxa"/>
            <w:tcBorders>
              <w:top w:val="nil"/>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imes New Roman" w:hAnsi="Times New Roman" w:eastAsia="宋体" w:cs="Times New Roman"/>
                <w:kern w:val="0"/>
                <w:szCs w:val="21"/>
              </w:rPr>
            </w:pPr>
            <w:r>
              <w:rPr>
                <w:rFonts w:ascii="Times New Roman" w:hAnsi="Times New Roman" w:eastAsia="宋体" w:cs="Times New Roman"/>
                <w:kern w:val="0"/>
                <w:szCs w:val="21"/>
              </w:rPr>
              <w:t>1</w:t>
            </w:r>
          </w:p>
        </w:tc>
        <w:tc>
          <w:tcPr>
            <w:tcW w:w="649"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Times New Roman" w:hAnsi="Times New Roman" w:eastAsia="宋体" w:cs="Times New Roman"/>
                <w:kern w:val="0"/>
                <w:szCs w:val="21"/>
              </w:rPr>
            </w:pPr>
            <w:r>
              <w:rPr>
                <w:rFonts w:ascii="Times New Roman" w:hAnsi="Times New Roman" w:eastAsia="宋体" w:cs="Times New Roman"/>
                <w:kern w:val="0"/>
                <w:szCs w:val="21"/>
              </w:rPr>
              <w:t>交互应用系统</w:t>
            </w:r>
          </w:p>
        </w:tc>
        <w:tc>
          <w:tcPr>
            <w:tcW w:w="5708"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Times New Roman" w:hAnsi="Times New Roman" w:eastAsia="宋体" w:cs="Times New Roman"/>
                <w:kern w:val="0"/>
                <w:szCs w:val="21"/>
              </w:rPr>
            </w:pPr>
            <w:r>
              <w:rPr>
                <w:rFonts w:ascii="Times New Roman" w:hAnsi="Times New Roman" w:eastAsia="宋体" w:cs="Times New Roman"/>
                <w:kern w:val="0"/>
                <w:szCs w:val="21"/>
              </w:rPr>
              <w:t>（一）基础数据的采集、展示及管理</w:t>
            </w:r>
            <w:r>
              <w:rPr>
                <w:rFonts w:ascii="Times New Roman" w:hAnsi="Times New Roman" w:eastAsia="宋体" w:cs="Times New Roman"/>
                <w:kern w:val="0"/>
                <w:szCs w:val="21"/>
              </w:rPr>
              <w:br w:type="textWrapping"/>
            </w:r>
            <w:r>
              <w:rPr>
                <w:rFonts w:ascii="Times New Roman" w:hAnsi="Times New Roman" w:eastAsia="宋体" w:cs="Times New Roman"/>
                <w:kern w:val="0"/>
                <w:szCs w:val="21"/>
              </w:rPr>
              <w:t>（1）视频点的详细信息的采集与管理，包括安装部位描述，摄像机类别，枪机朝向，是否有光源，是否运行正常，室内/室外等。</w:t>
            </w:r>
            <w:r>
              <w:rPr>
                <w:rFonts w:ascii="Times New Roman" w:hAnsi="Times New Roman" w:eastAsia="宋体" w:cs="Times New Roman"/>
                <w:kern w:val="0"/>
                <w:szCs w:val="21"/>
              </w:rPr>
              <w:br w:type="textWrapping"/>
            </w:r>
            <w:r>
              <w:rPr>
                <w:rFonts w:ascii="Times New Roman" w:hAnsi="Times New Roman" w:eastAsia="宋体" w:cs="Times New Roman"/>
                <w:kern w:val="0"/>
                <w:szCs w:val="21"/>
              </w:rPr>
              <w:t>（2）接入单位的详细信息的采集与管理，包括单位名称，单位地址，最新照片，联系人，联系方式，有无监控室，录像保存时间，录像设备品牌型号等。</w:t>
            </w:r>
            <w:r>
              <w:rPr>
                <w:rFonts w:ascii="Times New Roman" w:hAnsi="Times New Roman" w:eastAsia="宋体" w:cs="Times New Roman"/>
                <w:kern w:val="0"/>
                <w:szCs w:val="21"/>
              </w:rPr>
              <w:br w:type="textWrapping"/>
            </w:r>
            <w:r>
              <w:rPr>
                <w:rFonts w:ascii="Times New Roman" w:hAnsi="Times New Roman" w:eastAsia="宋体" w:cs="Times New Roman"/>
                <w:kern w:val="0"/>
                <w:szCs w:val="21"/>
              </w:rPr>
              <w:t>（3）地图应用POI数据展示。</w:t>
            </w:r>
            <w:r>
              <w:rPr>
                <w:rFonts w:ascii="Times New Roman" w:hAnsi="Times New Roman" w:eastAsia="宋体" w:cs="Times New Roman"/>
                <w:kern w:val="0"/>
                <w:szCs w:val="21"/>
              </w:rPr>
              <w:br w:type="textWrapping"/>
            </w:r>
            <w:r>
              <w:rPr>
                <w:rFonts w:ascii="Times New Roman" w:hAnsi="Times New Roman" w:eastAsia="宋体" w:cs="Times New Roman"/>
                <w:kern w:val="0"/>
                <w:szCs w:val="21"/>
              </w:rPr>
              <w:t>（4）海量视频接入：支持不少于5000路接入授权，支持不少于250路视频监控图像的并发调用。</w:t>
            </w:r>
            <w:r>
              <w:rPr>
                <w:rFonts w:ascii="Times New Roman" w:hAnsi="Times New Roman" w:eastAsia="宋体" w:cs="Times New Roman"/>
                <w:kern w:val="0"/>
                <w:szCs w:val="21"/>
              </w:rPr>
              <w:br w:type="textWrapping"/>
            </w:r>
            <w:r>
              <w:rPr>
                <w:rFonts w:ascii="Times New Roman" w:hAnsi="Times New Roman" w:eastAsia="宋体" w:cs="Times New Roman"/>
                <w:kern w:val="0"/>
                <w:szCs w:val="21"/>
              </w:rPr>
              <w:t>（5）视频接入智能化管理：支持对接入的视频点进行智能巡查，实现接入视频的完好率和在线率的实时反馈。</w:t>
            </w:r>
            <w:r>
              <w:rPr>
                <w:rFonts w:ascii="Times New Roman" w:hAnsi="Times New Roman" w:eastAsia="宋体" w:cs="Times New Roman"/>
                <w:kern w:val="0"/>
                <w:szCs w:val="21"/>
              </w:rPr>
              <w:br w:type="textWrapping"/>
            </w:r>
            <w:r>
              <w:rPr>
                <w:rFonts w:ascii="Times New Roman" w:hAnsi="Times New Roman" w:eastAsia="宋体" w:cs="Times New Roman"/>
                <w:kern w:val="0"/>
                <w:szCs w:val="21"/>
              </w:rPr>
              <w:t>（二）基于GIS地图的社会治理“一张图”应用</w:t>
            </w:r>
            <w:r>
              <w:rPr>
                <w:rFonts w:ascii="Times New Roman" w:hAnsi="Times New Roman" w:eastAsia="宋体" w:cs="Times New Roman"/>
                <w:kern w:val="0"/>
                <w:szCs w:val="21"/>
              </w:rPr>
              <w:br w:type="textWrapping"/>
            </w:r>
            <w:r>
              <w:rPr>
                <w:rFonts w:ascii="Times New Roman" w:hAnsi="Times New Roman" w:eastAsia="宋体" w:cs="Times New Roman"/>
                <w:kern w:val="0"/>
                <w:szCs w:val="21"/>
              </w:rPr>
              <w:t>（1）支持基于GIS地图实现感知数据分类上图及直观标注展示。</w:t>
            </w:r>
            <w:r>
              <w:rPr>
                <w:rFonts w:ascii="Times New Roman" w:hAnsi="Times New Roman" w:eastAsia="宋体" w:cs="Times New Roman"/>
                <w:kern w:val="0"/>
                <w:szCs w:val="21"/>
              </w:rPr>
              <w:br w:type="textWrapping"/>
            </w:r>
            <w:r>
              <w:rPr>
                <w:rFonts w:ascii="Times New Roman" w:hAnsi="Times New Roman" w:eastAsia="宋体" w:cs="Times New Roman"/>
                <w:kern w:val="0"/>
                <w:szCs w:val="21"/>
              </w:rPr>
              <w:t>（2）支持基于GIS地图提供功能强大的可视化检索功能。</w:t>
            </w:r>
            <w:r>
              <w:rPr>
                <w:rFonts w:ascii="Times New Roman" w:hAnsi="Times New Roman" w:eastAsia="宋体" w:cs="Times New Roman"/>
                <w:kern w:val="0"/>
                <w:szCs w:val="21"/>
              </w:rPr>
              <w:br w:type="textWrapping"/>
            </w:r>
            <w:r>
              <w:rPr>
                <w:rFonts w:ascii="Times New Roman" w:hAnsi="Times New Roman" w:eastAsia="宋体" w:cs="Times New Roman"/>
                <w:kern w:val="0"/>
                <w:szCs w:val="21"/>
              </w:rPr>
              <w:t>（3）支持基于GIS地图实现上报事件的实时展示，实现“一张图接警”。</w:t>
            </w:r>
            <w:r>
              <w:rPr>
                <w:rFonts w:ascii="Times New Roman" w:hAnsi="Times New Roman" w:eastAsia="宋体" w:cs="Times New Roman"/>
                <w:kern w:val="0"/>
                <w:szCs w:val="21"/>
              </w:rPr>
              <w:br w:type="textWrapping"/>
            </w:r>
            <w:r>
              <w:rPr>
                <w:rFonts w:ascii="Times New Roman" w:hAnsi="Times New Roman" w:eastAsia="宋体" w:cs="Times New Roman"/>
                <w:kern w:val="0"/>
                <w:szCs w:val="21"/>
              </w:rPr>
              <w:t>（5）支持基于GIS地图实现上报事件的实时处置，实现“一张图处置”。</w:t>
            </w:r>
            <w:r>
              <w:rPr>
                <w:rFonts w:ascii="Times New Roman" w:hAnsi="Times New Roman" w:eastAsia="宋体" w:cs="Times New Roman"/>
                <w:kern w:val="0"/>
                <w:szCs w:val="21"/>
              </w:rPr>
              <w:br w:type="textWrapping"/>
            </w:r>
            <w:r>
              <w:rPr>
                <w:rFonts w:ascii="Times New Roman" w:hAnsi="Times New Roman" w:eastAsia="宋体" w:cs="Times New Roman"/>
                <w:kern w:val="0"/>
                <w:szCs w:val="21"/>
              </w:rPr>
              <w:t>（三）视频交互应用子系统</w:t>
            </w:r>
            <w:r>
              <w:rPr>
                <w:rFonts w:ascii="Times New Roman" w:hAnsi="Times New Roman" w:eastAsia="宋体" w:cs="Times New Roman"/>
                <w:kern w:val="0"/>
                <w:szCs w:val="21"/>
              </w:rPr>
              <w:br w:type="textWrapping"/>
            </w:r>
            <w:r>
              <w:rPr>
                <w:rFonts w:ascii="Times New Roman" w:hAnsi="Times New Roman" w:eastAsia="宋体" w:cs="Times New Roman"/>
                <w:kern w:val="0"/>
                <w:szCs w:val="21"/>
              </w:rPr>
              <w:t>（1）支持视频资源的安全接入。</w:t>
            </w:r>
            <w:r>
              <w:rPr>
                <w:rFonts w:ascii="Times New Roman" w:hAnsi="Times New Roman" w:eastAsia="宋体" w:cs="Times New Roman"/>
                <w:kern w:val="0"/>
                <w:szCs w:val="21"/>
              </w:rPr>
              <w:br w:type="textWrapping"/>
            </w:r>
            <w:r>
              <w:rPr>
                <w:rFonts w:ascii="Times New Roman" w:hAnsi="Times New Roman" w:eastAsia="宋体" w:cs="Times New Roman"/>
                <w:kern w:val="0"/>
                <w:szCs w:val="21"/>
              </w:rPr>
              <w:t>（2）支持视频资源的实时浏览、录像管理、视频轻量存储。</w:t>
            </w:r>
            <w:r>
              <w:rPr>
                <w:rFonts w:ascii="Times New Roman" w:hAnsi="Times New Roman" w:eastAsia="宋体" w:cs="Times New Roman"/>
                <w:kern w:val="0"/>
                <w:szCs w:val="21"/>
              </w:rPr>
              <w:br w:type="textWrapping"/>
            </w:r>
            <w:r>
              <w:rPr>
                <w:rFonts w:ascii="Times New Roman" w:hAnsi="Times New Roman" w:eastAsia="宋体" w:cs="Times New Roman"/>
                <w:kern w:val="0"/>
                <w:szCs w:val="21"/>
              </w:rPr>
              <w:t>（3）支持视频资源的实时截图、事件上报等功能。</w:t>
            </w:r>
            <w:r>
              <w:rPr>
                <w:rFonts w:ascii="Times New Roman" w:hAnsi="Times New Roman" w:eastAsia="宋体" w:cs="Times New Roman"/>
                <w:kern w:val="0"/>
                <w:szCs w:val="21"/>
              </w:rPr>
              <w:br w:type="textWrapping"/>
            </w:r>
            <w:r>
              <w:rPr>
                <w:rFonts w:ascii="Times New Roman" w:hAnsi="Times New Roman" w:eastAsia="宋体" w:cs="Times New Roman"/>
                <w:kern w:val="0"/>
                <w:szCs w:val="21"/>
              </w:rPr>
              <w:t>（4）支持应用权限管理。</w:t>
            </w:r>
            <w:r>
              <w:rPr>
                <w:rFonts w:ascii="Times New Roman" w:hAnsi="Times New Roman" w:eastAsia="宋体" w:cs="Times New Roman"/>
                <w:kern w:val="0"/>
                <w:szCs w:val="21"/>
              </w:rPr>
              <w:br w:type="textWrapping"/>
            </w:r>
            <w:r>
              <w:rPr>
                <w:rFonts w:ascii="Times New Roman" w:hAnsi="Times New Roman" w:eastAsia="宋体" w:cs="Times New Roman"/>
                <w:kern w:val="0"/>
                <w:szCs w:val="21"/>
              </w:rPr>
              <w:t>（5）支持交互过程的痕迹化管理及可视化展示。</w:t>
            </w:r>
            <w:r>
              <w:rPr>
                <w:rFonts w:ascii="Times New Roman" w:hAnsi="Times New Roman" w:eastAsia="宋体" w:cs="Times New Roman"/>
                <w:kern w:val="0"/>
                <w:szCs w:val="21"/>
              </w:rPr>
              <w:br w:type="textWrapping"/>
            </w:r>
            <w:r>
              <w:rPr>
                <w:rFonts w:ascii="Times New Roman" w:hAnsi="Times New Roman" w:eastAsia="宋体" w:cs="Times New Roman"/>
                <w:kern w:val="0"/>
                <w:szCs w:val="21"/>
              </w:rPr>
              <w:t>（四）实现与已建成的社会治理类别的物联网平台的互联互通</w:t>
            </w:r>
            <w:r>
              <w:rPr>
                <w:rFonts w:ascii="Times New Roman" w:hAnsi="Times New Roman" w:eastAsia="宋体" w:cs="Times New Roman"/>
                <w:kern w:val="0"/>
                <w:szCs w:val="21"/>
              </w:rPr>
              <w:br w:type="textWrapping"/>
            </w:r>
            <w:r>
              <w:rPr>
                <w:rFonts w:ascii="Times New Roman" w:hAnsi="Times New Roman" w:eastAsia="宋体" w:cs="Times New Roman"/>
                <w:kern w:val="0"/>
                <w:szCs w:val="21"/>
              </w:rPr>
              <w:t>实现与已建成的社会治理类别的物联网平台互通功能，开发相对应的数据交互接口，并实现事件的发生、处置过程、处置结果的全程跟踪及可视化展示。</w:t>
            </w:r>
            <w:r>
              <w:rPr>
                <w:rFonts w:ascii="Times New Roman" w:hAnsi="Times New Roman" w:eastAsia="宋体" w:cs="Times New Roman"/>
                <w:kern w:val="0"/>
                <w:szCs w:val="21"/>
              </w:rPr>
              <w:br w:type="textWrapping"/>
            </w:r>
            <w:r>
              <w:rPr>
                <w:rFonts w:ascii="Times New Roman" w:hAnsi="Times New Roman" w:eastAsia="宋体" w:cs="Times New Roman"/>
                <w:kern w:val="0"/>
                <w:szCs w:val="21"/>
              </w:rPr>
              <w:t>（五）大数据应用</w:t>
            </w:r>
            <w:r>
              <w:rPr>
                <w:rFonts w:ascii="Times New Roman" w:hAnsi="Times New Roman" w:eastAsia="宋体" w:cs="Times New Roman"/>
                <w:kern w:val="0"/>
                <w:szCs w:val="21"/>
              </w:rPr>
              <w:br w:type="textWrapping"/>
            </w:r>
            <w:r>
              <w:rPr>
                <w:rFonts w:ascii="Times New Roman" w:hAnsi="Times New Roman" w:eastAsia="宋体" w:cs="Times New Roman"/>
                <w:kern w:val="0"/>
                <w:szCs w:val="21"/>
              </w:rPr>
              <w:t>利用大数据技术，对系统采集到的数据及整合的社会治理类别的物联网平台的海量数据（用电、用水、防火等）进行深度挖掘，实现包含统计、研判、预测等方面在内的业务需求，并以直观的数据图表呈现，为各级社会治理工作开展提供科学数据模型支撑。</w:t>
            </w:r>
            <w:r>
              <w:rPr>
                <w:rFonts w:ascii="Times New Roman" w:hAnsi="Times New Roman" w:eastAsia="宋体" w:cs="Times New Roman"/>
                <w:kern w:val="0"/>
                <w:szCs w:val="21"/>
              </w:rPr>
              <w:br w:type="textWrapping"/>
            </w:r>
            <w:r>
              <w:rPr>
                <w:rFonts w:ascii="Times New Roman" w:hAnsi="Times New Roman" w:eastAsia="宋体" w:cs="Times New Roman"/>
                <w:kern w:val="0"/>
                <w:szCs w:val="21"/>
              </w:rPr>
              <w:t>（六）App应用</w:t>
            </w:r>
            <w:r>
              <w:rPr>
                <w:rFonts w:ascii="Times New Roman" w:hAnsi="Times New Roman" w:eastAsia="宋体" w:cs="Times New Roman"/>
                <w:kern w:val="0"/>
                <w:szCs w:val="21"/>
              </w:rPr>
              <w:br w:type="textWrapping"/>
            </w:r>
            <w:r>
              <w:rPr>
                <w:rFonts w:ascii="Times New Roman" w:hAnsi="Times New Roman" w:eastAsia="宋体" w:cs="Times New Roman"/>
                <w:kern w:val="0"/>
                <w:szCs w:val="21"/>
              </w:rPr>
              <w:t>通过合理的资源共享，将手机连入电子政务网，经过授权的用户可实现移动交互功能，支持人员定位，视频预览，事件实时上报等。</w:t>
            </w:r>
            <w:r>
              <w:rPr>
                <w:rFonts w:ascii="Times New Roman" w:hAnsi="Times New Roman" w:eastAsia="宋体" w:cs="Times New Roman"/>
                <w:kern w:val="0"/>
                <w:szCs w:val="21"/>
              </w:rPr>
              <w:br w:type="textWrapping"/>
            </w:r>
            <w:r>
              <w:rPr>
                <w:rFonts w:ascii="Times New Roman" w:hAnsi="Times New Roman" w:eastAsia="宋体" w:cs="Times New Roman"/>
                <w:kern w:val="0"/>
                <w:szCs w:val="21"/>
              </w:rPr>
              <w:t>（七）智能扩展应用</w:t>
            </w:r>
            <w:r>
              <w:rPr>
                <w:rFonts w:ascii="Times New Roman" w:hAnsi="Times New Roman" w:eastAsia="宋体" w:cs="Times New Roman"/>
                <w:kern w:val="0"/>
                <w:szCs w:val="21"/>
              </w:rPr>
              <w:br w:type="textWrapping"/>
            </w:r>
            <w:r>
              <w:rPr>
                <w:rFonts w:ascii="Times New Roman" w:hAnsi="Times New Roman" w:eastAsia="宋体" w:cs="Times New Roman"/>
                <w:kern w:val="0"/>
                <w:szCs w:val="21"/>
              </w:rPr>
              <w:t>（1）对接入的视频资源实现区域化、动态化的特定目标人群识别能力扩展，按需可动态设置不超过16处通道的扩展。</w:t>
            </w:r>
            <w:r>
              <w:rPr>
                <w:rFonts w:ascii="Times New Roman" w:hAnsi="Times New Roman" w:eastAsia="宋体" w:cs="Times New Roman"/>
                <w:kern w:val="0"/>
                <w:szCs w:val="21"/>
              </w:rPr>
              <w:br w:type="textWrapping"/>
            </w:r>
            <w:r>
              <w:rPr>
                <w:rFonts w:ascii="Times New Roman" w:hAnsi="Times New Roman" w:eastAsia="宋体" w:cs="Times New Roman"/>
                <w:kern w:val="0"/>
                <w:szCs w:val="21"/>
              </w:rPr>
              <w:t>（2）实现特定目标人群人脸库的动态管理，关键卡点进行动态布控。</w:t>
            </w:r>
            <w:r>
              <w:rPr>
                <w:rFonts w:ascii="Times New Roman" w:hAnsi="Times New Roman" w:eastAsia="宋体" w:cs="Times New Roman"/>
                <w:kern w:val="0"/>
                <w:szCs w:val="21"/>
              </w:rPr>
              <w:br w:type="textWrapping"/>
            </w:r>
            <w:r>
              <w:rPr>
                <w:rFonts w:ascii="Times New Roman" w:hAnsi="Times New Roman" w:eastAsia="宋体" w:cs="Times New Roman"/>
                <w:kern w:val="0"/>
                <w:szCs w:val="21"/>
              </w:rPr>
              <w:t>（3）在GIS地图上动态直观展示目标人物的行动轨迹。</w:t>
            </w:r>
            <w:r>
              <w:rPr>
                <w:rFonts w:ascii="Times New Roman" w:hAnsi="Times New Roman" w:eastAsia="宋体" w:cs="Times New Roman"/>
                <w:kern w:val="0"/>
                <w:szCs w:val="21"/>
              </w:rPr>
              <w:br w:type="textWrapping"/>
            </w:r>
          </w:p>
        </w:tc>
        <w:tc>
          <w:tcPr>
            <w:tcW w:w="649"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Times New Roman" w:hAnsi="Times New Roman" w:eastAsia="宋体" w:cs="Times New Roman"/>
                <w:kern w:val="0"/>
                <w:szCs w:val="21"/>
              </w:rPr>
            </w:pPr>
            <w:r>
              <w:rPr>
                <w:rFonts w:ascii="Times New Roman" w:hAnsi="Times New Roman" w:eastAsia="宋体" w:cs="Times New Roman"/>
                <w:kern w:val="0"/>
                <w:szCs w:val="21"/>
              </w:rPr>
              <w:t>项</w:t>
            </w:r>
          </w:p>
        </w:tc>
        <w:tc>
          <w:tcPr>
            <w:tcW w:w="646"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Times New Roman" w:hAnsi="Times New Roman" w:eastAsia="宋体" w:cs="Times New Roman"/>
                <w:kern w:val="0"/>
                <w:szCs w:val="21"/>
              </w:rPr>
            </w:pPr>
            <w:r>
              <w:rPr>
                <w:rFonts w:ascii="Times New Roman" w:hAnsi="Times New Roman" w:eastAsia="宋体" w:cs="Times New Roman"/>
                <w:kern w:val="0"/>
                <w:szCs w:val="21"/>
              </w:rPr>
              <w:t>1</w:t>
            </w:r>
          </w:p>
        </w:tc>
      </w:tr>
      <w:tr>
        <w:tblPrEx>
          <w:tblLayout w:type="fixed"/>
          <w:tblCellMar>
            <w:top w:w="0" w:type="dxa"/>
            <w:left w:w="108" w:type="dxa"/>
            <w:bottom w:w="0" w:type="dxa"/>
            <w:right w:w="108" w:type="dxa"/>
          </w:tblCellMar>
        </w:tblPrEx>
        <w:trPr>
          <w:trHeight w:val="600" w:hRule="atLeast"/>
        </w:trPr>
        <w:tc>
          <w:tcPr>
            <w:tcW w:w="65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imes New Roman" w:hAnsi="Times New Roman" w:eastAsia="宋体" w:cs="Times New Roman"/>
                <w:kern w:val="0"/>
                <w:szCs w:val="21"/>
              </w:rPr>
            </w:pPr>
            <w:r>
              <w:rPr>
                <w:rFonts w:ascii="Times New Roman" w:hAnsi="Times New Roman" w:eastAsia="宋体" w:cs="Times New Roman"/>
                <w:kern w:val="0"/>
                <w:szCs w:val="21"/>
              </w:rPr>
              <w:t>2</w:t>
            </w:r>
          </w:p>
        </w:tc>
        <w:tc>
          <w:tcPr>
            <w:tcW w:w="649" w:type="dxa"/>
            <w:tcBorders>
              <w:top w:val="single" w:color="auto" w:sz="4" w:space="0"/>
              <w:left w:val="nil"/>
              <w:bottom w:val="single" w:color="auto" w:sz="4" w:space="0"/>
              <w:right w:val="single" w:color="auto" w:sz="4" w:space="0"/>
            </w:tcBorders>
            <w:shd w:val="clear" w:color="auto" w:fill="auto"/>
            <w:vAlign w:val="center"/>
          </w:tcPr>
          <w:p>
            <w:pPr>
              <w:widowControl/>
              <w:spacing w:line="360" w:lineRule="auto"/>
              <w:jc w:val="left"/>
              <w:rPr>
                <w:rFonts w:ascii="Times New Roman" w:hAnsi="Times New Roman" w:eastAsia="宋体" w:cs="Times New Roman"/>
                <w:kern w:val="0"/>
                <w:szCs w:val="21"/>
              </w:rPr>
            </w:pPr>
            <w:r>
              <w:rPr>
                <w:rFonts w:ascii="Times New Roman" w:hAnsi="Times New Roman" w:eastAsia="宋体" w:cs="Times New Roman"/>
                <w:kern w:val="0"/>
                <w:szCs w:val="21"/>
              </w:rPr>
              <w:t>在线及驻场服务</w:t>
            </w:r>
          </w:p>
        </w:tc>
        <w:tc>
          <w:tcPr>
            <w:tcW w:w="5708" w:type="dxa"/>
            <w:tcBorders>
              <w:top w:val="single" w:color="auto" w:sz="4" w:space="0"/>
              <w:left w:val="nil"/>
              <w:bottom w:val="single" w:color="auto" w:sz="4" w:space="0"/>
              <w:right w:val="single" w:color="auto" w:sz="4" w:space="0"/>
            </w:tcBorders>
            <w:shd w:val="clear" w:color="auto" w:fill="auto"/>
            <w:vAlign w:val="center"/>
          </w:tcPr>
          <w:p>
            <w:pPr>
              <w:widowControl/>
              <w:spacing w:line="360" w:lineRule="auto"/>
              <w:jc w:val="left"/>
              <w:rPr>
                <w:rFonts w:ascii="Times New Roman" w:hAnsi="Times New Roman" w:eastAsia="宋体" w:cs="Times New Roman"/>
                <w:kern w:val="0"/>
                <w:szCs w:val="21"/>
              </w:rPr>
            </w:pPr>
            <w:r>
              <w:rPr>
                <w:rFonts w:ascii="Times New Roman" w:hAnsi="Times New Roman" w:eastAsia="宋体" w:cs="Times New Roman"/>
                <w:kern w:val="0"/>
                <w:szCs w:val="21"/>
              </w:rPr>
              <w:t>（1）用户可通过在线服务模块在线提交应用需求，技术客服将在线提供相应服务支撑。</w:t>
            </w:r>
            <w:r>
              <w:rPr>
                <w:rFonts w:ascii="Times New Roman" w:hAnsi="Times New Roman" w:eastAsia="宋体" w:cs="Times New Roman"/>
                <w:kern w:val="0"/>
                <w:szCs w:val="21"/>
              </w:rPr>
              <w:br w:type="textWrapping"/>
            </w:r>
            <w:r>
              <w:rPr>
                <w:rFonts w:ascii="Times New Roman" w:hAnsi="Times New Roman" w:eastAsia="宋体" w:cs="Times New Roman"/>
                <w:kern w:val="0"/>
                <w:szCs w:val="21"/>
              </w:rPr>
              <w:t>（2）实现全程痕迹化管理及可视化展示</w:t>
            </w:r>
            <w:r>
              <w:rPr>
                <w:rFonts w:ascii="Times New Roman" w:hAnsi="Times New Roman" w:eastAsia="宋体" w:cs="Times New Roman"/>
                <w:kern w:val="0"/>
                <w:szCs w:val="21"/>
              </w:rPr>
              <w:br w:type="textWrapping"/>
            </w:r>
            <w:r>
              <w:rPr>
                <w:rFonts w:ascii="Times New Roman" w:hAnsi="Times New Roman" w:eastAsia="宋体" w:cs="Times New Roman"/>
                <w:kern w:val="0"/>
                <w:szCs w:val="21"/>
              </w:rPr>
              <w:t>（3）服务时间为正常工作日：上午8点30分至下午5点30分。</w:t>
            </w:r>
            <w:r>
              <w:rPr>
                <w:rFonts w:ascii="Times New Roman" w:hAnsi="Times New Roman" w:eastAsia="宋体" w:cs="Times New Roman"/>
                <w:kern w:val="0"/>
                <w:szCs w:val="21"/>
              </w:rPr>
              <w:br w:type="textWrapping"/>
            </w:r>
            <w:r>
              <w:rPr>
                <w:rFonts w:ascii="Times New Roman" w:hAnsi="Times New Roman" w:eastAsia="宋体" w:cs="Times New Roman"/>
                <w:kern w:val="0"/>
                <w:szCs w:val="21"/>
              </w:rPr>
              <w:t>（4）如遇紧急情况可拨打客服热线，提供24小时技术服务支撑。</w:t>
            </w:r>
          </w:p>
          <w:p>
            <w:pPr>
              <w:widowControl/>
              <w:spacing w:line="360" w:lineRule="auto"/>
              <w:jc w:val="left"/>
              <w:rPr>
                <w:rFonts w:ascii="Times New Roman" w:hAnsi="Times New Roman" w:eastAsia="宋体" w:cs="Times New Roman"/>
                <w:kern w:val="0"/>
                <w:szCs w:val="21"/>
              </w:rPr>
            </w:pPr>
            <w:r>
              <w:rPr>
                <w:rFonts w:ascii="Times New Roman" w:hAnsi="Times New Roman" w:eastAsia="宋体" w:cs="Times New Roman"/>
                <w:kern w:val="0"/>
                <w:szCs w:val="21"/>
              </w:rPr>
              <w:t>（5）提供不少于2名驻场技术服务人员。</w:t>
            </w:r>
          </w:p>
        </w:tc>
        <w:tc>
          <w:tcPr>
            <w:tcW w:w="649" w:type="dxa"/>
            <w:tcBorders>
              <w:top w:val="single" w:color="auto" w:sz="4" w:space="0"/>
              <w:left w:val="nil"/>
              <w:bottom w:val="single" w:color="auto" w:sz="4" w:space="0"/>
              <w:right w:val="single" w:color="auto" w:sz="4" w:space="0"/>
            </w:tcBorders>
            <w:shd w:val="clear" w:color="auto" w:fill="auto"/>
            <w:vAlign w:val="center"/>
          </w:tcPr>
          <w:p>
            <w:pPr>
              <w:widowControl/>
              <w:spacing w:line="360" w:lineRule="auto"/>
              <w:jc w:val="center"/>
              <w:rPr>
                <w:rFonts w:ascii="Times New Roman" w:hAnsi="Times New Roman" w:eastAsia="宋体" w:cs="Times New Roman"/>
                <w:kern w:val="0"/>
                <w:szCs w:val="21"/>
              </w:rPr>
            </w:pPr>
            <w:r>
              <w:rPr>
                <w:rFonts w:ascii="Times New Roman" w:hAnsi="Times New Roman" w:eastAsia="宋体" w:cs="Times New Roman"/>
                <w:kern w:val="0"/>
                <w:szCs w:val="21"/>
              </w:rPr>
              <w:t>项</w:t>
            </w:r>
          </w:p>
        </w:tc>
        <w:tc>
          <w:tcPr>
            <w:tcW w:w="646" w:type="dxa"/>
            <w:tcBorders>
              <w:top w:val="single" w:color="auto" w:sz="4" w:space="0"/>
              <w:left w:val="nil"/>
              <w:bottom w:val="single" w:color="auto" w:sz="4" w:space="0"/>
              <w:right w:val="single" w:color="auto" w:sz="4" w:space="0"/>
            </w:tcBorders>
            <w:shd w:val="clear" w:color="auto" w:fill="auto"/>
            <w:vAlign w:val="center"/>
          </w:tcPr>
          <w:p>
            <w:pPr>
              <w:widowControl/>
              <w:spacing w:line="360" w:lineRule="auto"/>
              <w:jc w:val="center"/>
              <w:rPr>
                <w:rFonts w:ascii="Times New Roman" w:hAnsi="Times New Roman" w:eastAsia="宋体" w:cs="Times New Roman"/>
                <w:kern w:val="0"/>
                <w:szCs w:val="21"/>
              </w:rPr>
            </w:pPr>
            <w:r>
              <w:rPr>
                <w:rFonts w:ascii="Times New Roman" w:hAnsi="Times New Roman" w:eastAsia="宋体" w:cs="Times New Roman"/>
                <w:kern w:val="0"/>
                <w:szCs w:val="21"/>
              </w:rPr>
              <w:t>1</w:t>
            </w:r>
          </w:p>
        </w:tc>
      </w:tr>
      <w:tr>
        <w:tblPrEx>
          <w:tblLayout w:type="fixed"/>
          <w:tblCellMar>
            <w:top w:w="0" w:type="dxa"/>
            <w:left w:w="108" w:type="dxa"/>
            <w:bottom w:w="0" w:type="dxa"/>
            <w:right w:w="108" w:type="dxa"/>
          </w:tblCellMar>
        </w:tblPrEx>
        <w:trPr>
          <w:trHeight w:val="600" w:hRule="atLeast"/>
        </w:trPr>
        <w:tc>
          <w:tcPr>
            <w:tcW w:w="65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imes New Roman" w:hAnsi="Times New Roman" w:eastAsia="宋体" w:cs="Times New Roman"/>
                <w:kern w:val="0"/>
                <w:szCs w:val="21"/>
              </w:rPr>
            </w:pPr>
            <w:r>
              <w:rPr>
                <w:rFonts w:ascii="Times New Roman" w:hAnsi="Times New Roman" w:eastAsia="宋体" w:cs="Times New Roman"/>
                <w:kern w:val="0"/>
                <w:szCs w:val="21"/>
              </w:rPr>
              <w:t>3</w:t>
            </w:r>
          </w:p>
        </w:tc>
        <w:tc>
          <w:tcPr>
            <w:tcW w:w="649" w:type="dxa"/>
            <w:tcBorders>
              <w:top w:val="single" w:color="auto" w:sz="4" w:space="0"/>
              <w:left w:val="nil"/>
              <w:bottom w:val="single" w:color="auto" w:sz="4" w:space="0"/>
              <w:right w:val="single" w:color="auto" w:sz="4" w:space="0"/>
            </w:tcBorders>
            <w:shd w:val="clear" w:color="auto" w:fill="auto"/>
            <w:vAlign w:val="center"/>
          </w:tcPr>
          <w:p>
            <w:pPr>
              <w:widowControl/>
              <w:spacing w:line="360" w:lineRule="auto"/>
              <w:jc w:val="left"/>
              <w:rPr>
                <w:rFonts w:ascii="Times New Roman" w:hAnsi="Times New Roman" w:eastAsia="宋体" w:cs="Times New Roman"/>
                <w:kern w:val="0"/>
                <w:szCs w:val="21"/>
              </w:rPr>
            </w:pPr>
            <w:r>
              <w:rPr>
                <w:rFonts w:ascii="Times New Roman" w:hAnsi="Times New Roman" w:eastAsia="宋体" w:cs="Times New Roman"/>
                <w:kern w:val="0"/>
                <w:szCs w:val="21"/>
              </w:rPr>
              <w:t>社会资源整合服务</w:t>
            </w:r>
          </w:p>
        </w:tc>
        <w:tc>
          <w:tcPr>
            <w:tcW w:w="5708" w:type="dxa"/>
            <w:tcBorders>
              <w:top w:val="single" w:color="auto" w:sz="4" w:space="0"/>
              <w:left w:val="nil"/>
              <w:bottom w:val="single" w:color="auto" w:sz="4" w:space="0"/>
              <w:right w:val="single" w:color="auto" w:sz="4" w:space="0"/>
            </w:tcBorders>
            <w:shd w:val="clear" w:color="auto" w:fill="auto"/>
            <w:vAlign w:val="center"/>
          </w:tcPr>
          <w:p>
            <w:pPr>
              <w:widowControl/>
              <w:spacing w:line="360" w:lineRule="auto"/>
              <w:jc w:val="left"/>
              <w:rPr>
                <w:rFonts w:ascii="Times New Roman" w:hAnsi="Times New Roman" w:eastAsia="宋体" w:cs="Times New Roman"/>
                <w:kern w:val="0"/>
                <w:szCs w:val="21"/>
              </w:rPr>
            </w:pPr>
            <w:r>
              <w:rPr>
                <w:rFonts w:ascii="Times New Roman" w:hAnsi="Times New Roman" w:eastAsia="宋体" w:cs="Times New Roman"/>
                <w:kern w:val="0"/>
                <w:szCs w:val="21"/>
              </w:rPr>
              <w:t>整合不低于超过2000路社会监控资源，包含网络链路、网络设备、视频转换设备及所有相关配套设施。</w:t>
            </w:r>
          </w:p>
        </w:tc>
        <w:tc>
          <w:tcPr>
            <w:tcW w:w="649" w:type="dxa"/>
            <w:tcBorders>
              <w:top w:val="single" w:color="auto" w:sz="4" w:space="0"/>
              <w:left w:val="nil"/>
              <w:bottom w:val="single" w:color="auto" w:sz="4" w:space="0"/>
              <w:right w:val="single" w:color="auto" w:sz="4" w:space="0"/>
            </w:tcBorders>
            <w:shd w:val="clear" w:color="auto" w:fill="auto"/>
            <w:vAlign w:val="center"/>
          </w:tcPr>
          <w:p>
            <w:pPr>
              <w:widowControl/>
              <w:spacing w:line="360" w:lineRule="auto"/>
              <w:jc w:val="center"/>
              <w:rPr>
                <w:rFonts w:ascii="Times New Roman" w:hAnsi="Times New Roman" w:eastAsia="宋体" w:cs="Times New Roman"/>
                <w:kern w:val="0"/>
                <w:szCs w:val="21"/>
              </w:rPr>
            </w:pPr>
            <w:r>
              <w:rPr>
                <w:rFonts w:ascii="Times New Roman" w:hAnsi="Times New Roman" w:eastAsia="宋体" w:cs="Times New Roman"/>
                <w:kern w:val="0"/>
                <w:szCs w:val="21"/>
              </w:rPr>
              <w:t>项</w:t>
            </w:r>
          </w:p>
        </w:tc>
        <w:tc>
          <w:tcPr>
            <w:tcW w:w="646" w:type="dxa"/>
            <w:tcBorders>
              <w:top w:val="single" w:color="auto" w:sz="4" w:space="0"/>
              <w:left w:val="nil"/>
              <w:bottom w:val="single" w:color="auto" w:sz="4" w:space="0"/>
              <w:right w:val="single" w:color="auto" w:sz="4" w:space="0"/>
            </w:tcBorders>
            <w:shd w:val="clear" w:color="auto" w:fill="auto"/>
            <w:vAlign w:val="center"/>
          </w:tcPr>
          <w:p>
            <w:pPr>
              <w:widowControl/>
              <w:spacing w:line="360" w:lineRule="auto"/>
              <w:jc w:val="center"/>
              <w:rPr>
                <w:rFonts w:ascii="Times New Roman" w:hAnsi="Times New Roman" w:eastAsia="宋体" w:cs="Times New Roman"/>
                <w:kern w:val="0"/>
                <w:szCs w:val="21"/>
              </w:rPr>
            </w:pPr>
            <w:r>
              <w:rPr>
                <w:rFonts w:ascii="Times New Roman" w:hAnsi="Times New Roman" w:eastAsia="宋体" w:cs="Times New Roman"/>
                <w:kern w:val="0"/>
                <w:szCs w:val="21"/>
              </w:rPr>
              <w:t>1</w:t>
            </w:r>
          </w:p>
        </w:tc>
      </w:tr>
    </w:tbl>
    <w:p>
      <w:pPr>
        <w:pStyle w:val="32"/>
        <w:spacing w:before="120" w:beforeLines="50"/>
        <w:ind w:firstLine="440"/>
        <w:rPr>
          <w:rFonts w:ascii="Times New Roman" w:hAnsi="Times New Roman"/>
          <w:sz w:val="22"/>
        </w:rPr>
      </w:pPr>
      <w:r>
        <w:rPr>
          <w:rFonts w:ascii="Times New Roman" w:hAnsi="Times New Roman"/>
          <w:sz w:val="22"/>
        </w:rPr>
        <w:t>注：最终设备数量及技术参数要求以满足采购人实际使用需求为准。</w:t>
      </w:r>
    </w:p>
    <w:p>
      <w:pPr>
        <w:pStyle w:val="32"/>
        <w:ind w:firstLine="0" w:firstLineChars="0"/>
        <w:rPr>
          <w:rFonts w:ascii="Times New Roman" w:hAnsi="Times New Roman"/>
        </w:rPr>
      </w:pPr>
    </w:p>
    <w:p>
      <w:pPr>
        <w:widowControl/>
        <w:autoSpaceDE w:val="0"/>
        <w:spacing w:before="120" w:beforeLines="50" w:after="120" w:afterLines="50" w:line="360" w:lineRule="auto"/>
        <w:ind w:firstLine="320" w:firstLineChars="100"/>
        <w:jc w:val="left"/>
        <w:outlineLvl w:val="0"/>
        <w:rPr>
          <w:rFonts w:ascii="Times New Roman" w:hAnsi="Times New Roman" w:eastAsia="黑体" w:cs="Times New Roman"/>
          <w:kern w:val="0"/>
          <w:sz w:val="32"/>
          <w:szCs w:val="30"/>
        </w:rPr>
      </w:pPr>
      <w:bookmarkStart w:id="58" w:name="_Toc536694749"/>
      <w:bookmarkStart w:id="59" w:name="_Toc536694691"/>
      <w:bookmarkStart w:id="60" w:name="_Toc535150765"/>
      <w:r>
        <w:rPr>
          <w:rFonts w:ascii="Times New Roman" w:hAnsi="Times New Roman" w:eastAsia="黑体" w:cs="Times New Roman"/>
          <w:kern w:val="0"/>
          <w:sz w:val="32"/>
          <w:szCs w:val="30"/>
        </w:rPr>
        <w:t>5、报价要求</w:t>
      </w:r>
      <w:bookmarkEnd w:id="58"/>
      <w:bookmarkEnd w:id="59"/>
    </w:p>
    <w:p>
      <w:pPr>
        <w:pStyle w:val="32"/>
        <w:spacing w:before="120" w:beforeLines="50"/>
        <w:ind w:firstLine="480"/>
        <w:rPr>
          <w:rFonts w:ascii="Times New Roman" w:hAnsi="Times New Roman"/>
          <w:sz w:val="24"/>
        </w:rPr>
      </w:pPr>
      <w:r>
        <w:rPr>
          <w:rFonts w:ascii="Times New Roman" w:hAnsi="Times New Roman"/>
          <w:sz w:val="24"/>
        </w:rPr>
        <w:t>本项目采用投标总价和分项报价相结合的报价方式，分项报价原则上不应超过下表所列价格。</w:t>
      </w:r>
    </w:p>
    <w:tbl>
      <w:tblPr>
        <w:tblStyle w:val="16"/>
        <w:tblW w:w="83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1559"/>
        <w:gridCol w:w="4110"/>
        <w:gridCol w:w="19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8" w:hRule="atLeast"/>
          <w:tblHeader/>
        </w:trPr>
        <w:tc>
          <w:tcPr>
            <w:tcW w:w="70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Times New Roman" w:hAnsi="Times New Roman" w:eastAsia="宋体" w:cs="Times New Roman"/>
                <w:kern w:val="0"/>
                <w:szCs w:val="21"/>
              </w:rPr>
            </w:pPr>
            <w:r>
              <w:rPr>
                <w:rFonts w:ascii="Times New Roman" w:hAnsi="Times New Roman" w:eastAsia="宋体" w:cs="Times New Roman"/>
                <w:kern w:val="0"/>
                <w:szCs w:val="21"/>
              </w:rPr>
              <w:t>序号</w:t>
            </w:r>
          </w:p>
        </w:tc>
        <w:tc>
          <w:tcPr>
            <w:tcW w:w="155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Times New Roman" w:hAnsi="Times New Roman" w:eastAsia="宋体" w:cs="Times New Roman"/>
                <w:kern w:val="0"/>
                <w:szCs w:val="21"/>
              </w:rPr>
            </w:pPr>
            <w:r>
              <w:rPr>
                <w:rFonts w:ascii="Times New Roman" w:hAnsi="Times New Roman" w:eastAsia="宋体" w:cs="Times New Roman"/>
                <w:kern w:val="0"/>
                <w:szCs w:val="21"/>
              </w:rPr>
              <w:t>类型</w:t>
            </w:r>
          </w:p>
        </w:tc>
        <w:tc>
          <w:tcPr>
            <w:tcW w:w="4110"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Times New Roman" w:hAnsi="Times New Roman" w:eastAsia="宋体" w:cs="Times New Roman"/>
                <w:kern w:val="0"/>
                <w:szCs w:val="21"/>
              </w:rPr>
            </w:pPr>
            <w:r>
              <w:rPr>
                <w:rFonts w:ascii="Times New Roman" w:hAnsi="Times New Roman" w:eastAsia="宋体" w:cs="Times New Roman"/>
                <w:kern w:val="0"/>
                <w:szCs w:val="21"/>
              </w:rPr>
              <w:t>规格程式</w:t>
            </w:r>
          </w:p>
        </w:tc>
        <w:tc>
          <w:tcPr>
            <w:tcW w:w="192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Times New Roman" w:hAnsi="Times New Roman" w:eastAsia="宋体" w:cs="Times New Roman"/>
                <w:kern w:val="0"/>
                <w:szCs w:val="21"/>
              </w:rPr>
            </w:pPr>
            <w:r>
              <w:rPr>
                <w:rFonts w:ascii="Times New Roman" w:hAnsi="Times New Roman" w:eastAsia="宋体" w:cs="Times New Roman"/>
                <w:kern w:val="0"/>
                <w:szCs w:val="21"/>
              </w:rPr>
              <w:t>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8" w:hRule="atLeast"/>
        </w:trPr>
        <w:tc>
          <w:tcPr>
            <w:tcW w:w="70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Times New Roman" w:hAnsi="Times New Roman" w:eastAsia="宋体" w:cs="Times New Roman"/>
                <w:kern w:val="0"/>
                <w:szCs w:val="21"/>
              </w:rPr>
            </w:pPr>
            <w:r>
              <w:rPr>
                <w:rFonts w:ascii="Times New Roman" w:hAnsi="Times New Roman" w:eastAsia="宋体" w:cs="Times New Roman"/>
                <w:kern w:val="0"/>
                <w:szCs w:val="21"/>
              </w:rPr>
              <w:t>1</w:t>
            </w:r>
          </w:p>
        </w:tc>
        <w:tc>
          <w:tcPr>
            <w:tcW w:w="155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Times New Roman" w:hAnsi="Times New Roman" w:eastAsia="宋体" w:cs="Times New Roman"/>
                <w:kern w:val="0"/>
                <w:szCs w:val="21"/>
              </w:rPr>
            </w:pPr>
            <w:r>
              <w:rPr>
                <w:rFonts w:ascii="Times New Roman" w:hAnsi="Times New Roman" w:eastAsia="宋体" w:cs="Times New Roman"/>
                <w:kern w:val="0"/>
                <w:szCs w:val="21"/>
              </w:rPr>
              <w:t>前端接入链路</w:t>
            </w:r>
          </w:p>
        </w:tc>
        <w:tc>
          <w:tcPr>
            <w:tcW w:w="4110"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Times New Roman" w:hAnsi="Times New Roman" w:eastAsia="宋体" w:cs="Times New Roman"/>
                <w:kern w:val="0"/>
                <w:szCs w:val="21"/>
              </w:rPr>
            </w:pPr>
            <w:r>
              <w:rPr>
                <w:rFonts w:ascii="Times New Roman" w:hAnsi="Times New Roman" w:eastAsia="宋体" w:cs="Times New Roman"/>
                <w:kern w:val="0"/>
                <w:szCs w:val="21"/>
              </w:rPr>
              <w:t>租用运营商千兆专线链路（按5年计算，含建设维护费用）。</w:t>
            </w:r>
          </w:p>
        </w:tc>
        <w:tc>
          <w:tcPr>
            <w:tcW w:w="192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Times New Roman" w:hAnsi="Times New Roman" w:eastAsia="宋体" w:cs="Times New Roman"/>
                <w:kern w:val="0"/>
                <w:szCs w:val="21"/>
              </w:rPr>
            </w:pPr>
            <w:r>
              <w:rPr>
                <w:rFonts w:ascii="Times New Roman" w:hAnsi="Times New Roman" w:eastAsia="宋体" w:cs="Times New Roman"/>
                <w:kern w:val="0"/>
                <w:szCs w:val="21"/>
              </w:rPr>
              <w:t>120元/月/条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70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Times New Roman" w:hAnsi="Times New Roman" w:eastAsia="宋体" w:cs="Times New Roman"/>
                <w:kern w:val="0"/>
                <w:szCs w:val="21"/>
              </w:rPr>
            </w:pPr>
            <w:r>
              <w:rPr>
                <w:rFonts w:ascii="Times New Roman" w:hAnsi="Times New Roman" w:eastAsia="宋体" w:cs="Times New Roman"/>
                <w:kern w:val="0"/>
                <w:szCs w:val="21"/>
              </w:rPr>
              <w:t>2</w:t>
            </w:r>
          </w:p>
        </w:tc>
        <w:tc>
          <w:tcPr>
            <w:tcW w:w="155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Times New Roman" w:hAnsi="Times New Roman" w:eastAsia="宋体" w:cs="Times New Roman"/>
                <w:kern w:val="0"/>
                <w:szCs w:val="21"/>
              </w:rPr>
            </w:pPr>
            <w:r>
              <w:rPr>
                <w:rFonts w:ascii="Times New Roman" w:hAnsi="Times New Roman" w:eastAsia="宋体" w:cs="Times New Roman"/>
                <w:kern w:val="0"/>
                <w:szCs w:val="21"/>
              </w:rPr>
              <w:t>基层队所接入专线</w:t>
            </w:r>
          </w:p>
        </w:tc>
        <w:tc>
          <w:tcPr>
            <w:tcW w:w="4110"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Times New Roman" w:hAnsi="Times New Roman" w:eastAsia="宋体" w:cs="Times New Roman"/>
                <w:kern w:val="0"/>
                <w:szCs w:val="21"/>
              </w:rPr>
            </w:pPr>
            <w:r>
              <w:rPr>
                <w:rFonts w:ascii="Times New Roman" w:hAnsi="Times New Roman" w:eastAsia="宋体" w:cs="Times New Roman"/>
                <w:kern w:val="0"/>
                <w:szCs w:val="21"/>
              </w:rPr>
              <w:t>租用运营商千兆专线链路（按5年计算，含建设维护费用）。</w:t>
            </w:r>
          </w:p>
        </w:tc>
        <w:tc>
          <w:tcPr>
            <w:tcW w:w="192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Times New Roman" w:hAnsi="Times New Roman" w:eastAsia="宋体" w:cs="Times New Roman"/>
                <w:kern w:val="0"/>
                <w:szCs w:val="21"/>
              </w:rPr>
            </w:pPr>
            <w:r>
              <w:rPr>
                <w:rFonts w:ascii="Times New Roman" w:hAnsi="Times New Roman" w:eastAsia="宋体" w:cs="Times New Roman"/>
                <w:kern w:val="0"/>
                <w:szCs w:val="21"/>
              </w:rPr>
              <w:t>120元/月/条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70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3</w:t>
            </w:r>
          </w:p>
        </w:tc>
        <w:tc>
          <w:tcPr>
            <w:tcW w:w="1559" w:type="dxa"/>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4G流量卡</w:t>
            </w:r>
          </w:p>
        </w:tc>
        <w:tc>
          <w:tcPr>
            <w:tcW w:w="4110" w:type="dxa"/>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流量套餐为不限量</w:t>
            </w:r>
          </w:p>
        </w:tc>
        <w:tc>
          <w:tcPr>
            <w:tcW w:w="192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cs="Times New Roman"/>
                <w:color w:val="000000"/>
                <w:kern w:val="0"/>
                <w:szCs w:val="21"/>
              </w:rPr>
            </w:pPr>
            <w:r>
              <w:rPr>
                <w:rFonts w:ascii="Times New Roman" w:hAnsi="Times New Roman" w:eastAsia="宋体" w:cs="Times New Roman"/>
                <w:kern w:val="0"/>
                <w:szCs w:val="21"/>
              </w:rPr>
              <w:t>120元/月/套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70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4</w:t>
            </w:r>
          </w:p>
        </w:tc>
        <w:tc>
          <w:tcPr>
            <w:tcW w:w="1559" w:type="dxa"/>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社会治理物联网交互应用系统服务</w:t>
            </w:r>
          </w:p>
        </w:tc>
        <w:tc>
          <w:tcPr>
            <w:tcW w:w="4110" w:type="dxa"/>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包含应用系统建设及开发，社会资源整合，系统5年运行维护。</w:t>
            </w:r>
          </w:p>
        </w:tc>
        <w:tc>
          <w:tcPr>
            <w:tcW w:w="192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cs="Times New Roman"/>
                <w:kern w:val="0"/>
                <w:szCs w:val="21"/>
              </w:rPr>
            </w:pPr>
            <w:r>
              <w:rPr>
                <w:rFonts w:ascii="Times New Roman" w:hAnsi="Times New Roman" w:eastAsia="宋体" w:cs="Times New Roman"/>
                <w:kern w:val="0"/>
                <w:szCs w:val="21"/>
              </w:rPr>
              <w:t>40万元/年</w:t>
            </w:r>
          </w:p>
        </w:tc>
      </w:tr>
      <w:bookmarkEnd w:id="60"/>
    </w:tbl>
    <w:p>
      <w:pPr>
        <w:pStyle w:val="32"/>
        <w:ind w:firstLine="0" w:firstLineChars="0"/>
        <w:rPr>
          <w:rFonts w:ascii="Times New Roman" w:hAnsi="Times New Roman"/>
        </w:rPr>
      </w:pPr>
      <w:r>
        <w:rPr>
          <w:rFonts w:ascii="Times New Roman" w:hAnsi="Times New Roman"/>
        </w:rPr>
        <w:fldChar w:fldCharType="begin"/>
      </w:r>
      <w:r>
        <w:rPr>
          <w:rFonts w:ascii="Times New Roman" w:hAnsi="Times New Roman"/>
        </w:rPr>
        <w:instrText xml:space="preserve"> LINK Excel.Sheet.12 C:\\Users\\63502\\Desktop\\1.xlsx 网络!R3C2:R11C7 \a \f 5 \h  \* MERGEFORMAT </w:instrText>
      </w:r>
      <w:r>
        <w:rPr>
          <w:rFonts w:ascii="Times New Roman" w:hAnsi="Times New Roman"/>
        </w:rPr>
        <w:fldChar w:fldCharType="end"/>
      </w:r>
    </w:p>
    <w:p>
      <w:pPr>
        <w:pStyle w:val="32"/>
        <w:ind w:firstLine="420"/>
        <w:rPr>
          <w:rFonts w:ascii="Times New Roman" w:hAnsi="Times New Roman"/>
        </w:rPr>
      </w:pPr>
    </w:p>
    <w:sectPr>
      <w:footerReference r:id="rId3" w:type="default"/>
      <w:pgSz w:w="11906" w:h="16838"/>
      <w:pgMar w:top="1440" w:right="1797" w:bottom="1440" w:left="1797" w:header="850" w:footer="850" w:gutter="0"/>
      <w:pgNumType w:start="1"/>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Arial">
    <w:panose1 w:val="020B0604020202020204"/>
    <w:charset w:val="00"/>
    <w:family w:val="swiss"/>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top w:val="single" w:color="auto" w:sz="4" w:space="1"/>
      </w:pBdr>
      <w:ind w:right="45"/>
      <w:jc w:val="center"/>
      <w:rPr>
        <w:rFonts w:ascii="Times New Roman" w:hAnsi="Times New Roman" w:eastAsia="宋体" w:cs="Times New Roman"/>
        <w:sz w:val="21"/>
        <w:szCs w:val="21"/>
      </w:rPr>
    </w:pPr>
    <w:r>
      <w:rPr>
        <w:rFonts w:ascii="Times New Roman" w:hAnsi="Times New Roman" w:eastAsia="宋体" w:cs="Times New Roman"/>
        <w:sz w:val="21"/>
        <w:szCs w:val="21"/>
      </w:rPr>
      <w:fldChar w:fldCharType="begin"/>
    </w:r>
    <w:r>
      <w:rPr>
        <w:rFonts w:ascii="Times New Roman" w:hAnsi="Times New Roman" w:eastAsia="宋体" w:cs="Times New Roman"/>
        <w:sz w:val="21"/>
        <w:szCs w:val="21"/>
      </w:rPr>
      <w:instrText xml:space="preserve">PAGE   \* MERGEFORMAT</w:instrText>
    </w:r>
    <w:r>
      <w:rPr>
        <w:rFonts w:ascii="Times New Roman" w:hAnsi="Times New Roman" w:eastAsia="宋体" w:cs="Times New Roman"/>
        <w:sz w:val="21"/>
        <w:szCs w:val="21"/>
      </w:rPr>
      <w:fldChar w:fldCharType="separate"/>
    </w:r>
    <w:r>
      <w:rPr>
        <w:rFonts w:ascii="Times New Roman" w:hAnsi="Times New Roman" w:eastAsia="宋体" w:cs="Times New Roman"/>
        <w:sz w:val="21"/>
        <w:szCs w:val="21"/>
        <w:lang w:val="zh-CN"/>
      </w:rPr>
      <w:t>13</w:t>
    </w:r>
    <w:r>
      <w:rPr>
        <w:rFonts w:ascii="Times New Roman" w:hAnsi="Times New Roman" w:eastAsia="宋体" w:cs="Times New Roman"/>
        <w:sz w:val="21"/>
        <w:szCs w:val="21"/>
      </w:rP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hideSpellingErrors/>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50DD"/>
    <w:rsid w:val="00000D38"/>
    <w:rsid w:val="00000FA5"/>
    <w:rsid w:val="000023B6"/>
    <w:rsid w:val="00002577"/>
    <w:rsid w:val="000031ED"/>
    <w:rsid w:val="0000445D"/>
    <w:rsid w:val="00006754"/>
    <w:rsid w:val="00007171"/>
    <w:rsid w:val="00010EE7"/>
    <w:rsid w:val="00011C34"/>
    <w:rsid w:val="0001296A"/>
    <w:rsid w:val="0001555A"/>
    <w:rsid w:val="00015A83"/>
    <w:rsid w:val="00022CB7"/>
    <w:rsid w:val="000244A2"/>
    <w:rsid w:val="000249F4"/>
    <w:rsid w:val="00030055"/>
    <w:rsid w:val="0003033C"/>
    <w:rsid w:val="00036204"/>
    <w:rsid w:val="00036F09"/>
    <w:rsid w:val="00040E56"/>
    <w:rsid w:val="000411A3"/>
    <w:rsid w:val="000443C8"/>
    <w:rsid w:val="00045CDE"/>
    <w:rsid w:val="0004761C"/>
    <w:rsid w:val="00052623"/>
    <w:rsid w:val="000541FD"/>
    <w:rsid w:val="00055BBF"/>
    <w:rsid w:val="0005638B"/>
    <w:rsid w:val="00057D19"/>
    <w:rsid w:val="00062378"/>
    <w:rsid w:val="00064751"/>
    <w:rsid w:val="00064BF0"/>
    <w:rsid w:val="00066A70"/>
    <w:rsid w:val="00066AAB"/>
    <w:rsid w:val="0006704C"/>
    <w:rsid w:val="0006777D"/>
    <w:rsid w:val="00067897"/>
    <w:rsid w:val="00075102"/>
    <w:rsid w:val="000769C1"/>
    <w:rsid w:val="000771E9"/>
    <w:rsid w:val="000773AE"/>
    <w:rsid w:val="00077E6D"/>
    <w:rsid w:val="00080EAB"/>
    <w:rsid w:val="0008253C"/>
    <w:rsid w:val="00083A05"/>
    <w:rsid w:val="00085F9B"/>
    <w:rsid w:val="00086DE4"/>
    <w:rsid w:val="000919AD"/>
    <w:rsid w:val="00093C2C"/>
    <w:rsid w:val="00093EA2"/>
    <w:rsid w:val="00094414"/>
    <w:rsid w:val="000A152B"/>
    <w:rsid w:val="000A1E4B"/>
    <w:rsid w:val="000A337A"/>
    <w:rsid w:val="000A3CB5"/>
    <w:rsid w:val="000A5771"/>
    <w:rsid w:val="000B0445"/>
    <w:rsid w:val="000B28CC"/>
    <w:rsid w:val="000B3416"/>
    <w:rsid w:val="000B415F"/>
    <w:rsid w:val="000B566D"/>
    <w:rsid w:val="000B7437"/>
    <w:rsid w:val="000B7F63"/>
    <w:rsid w:val="000C0168"/>
    <w:rsid w:val="000C0421"/>
    <w:rsid w:val="000C09B0"/>
    <w:rsid w:val="000C0D92"/>
    <w:rsid w:val="000C6970"/>
    <w:rsid w:val="000C6C8D"/>
    <w:rsid w:val="000C7148"/>
    <w:rsid w:val="000D0247"/>
    <w:rsid w:val="000D4C08"/>
    <w:rsid w:val="000D4D39"/>
    <w:rsid w:val="000D684E"/>
    <w:rsid w:val="000D6C66"/>
    <w:rsid w:val="000E0990"/>
    <w:rsid w:val="000E1EA9"/>
    <w:rsid w:val="000E3606"/>
    <w:rsid w:val="000E4AF7"/>
    <w:rsid w:val="000E4C4C"/>
    <w:rsid w:val="000E67B4"/>
    <w:rsid w:val="000E7F2F"/>
    <w:rsid w:val="000F182F"/>
    <w:rsid w:val="000F45C4"/>
    <w:rsid w:val="000F46EF"/>
    <w:rsid w:val="000F4DB2"/>
    <w:rsid w:val="000F598C"/>
    <w:rsid w:val="000F63E6"/>
    <w:rsid w:val="000F680E"/>
    <w:rsid w:val="000F7306"/>
    <w:rsid w:val="00100533"/>
    <w:rsid w:val="00101E22"/>
    <w:rsid w:val="00104074"/>
    <w:rsid w:val="00106A33"/>
    <w:rsid w:val="00110B9E"/>
    <w:rsid w:val="00112260"/>
    <w:rsid w:val="00112D75"/>
    <w:rsid w:val="00113FD1"/>
    <w:rsid w:val="00114C6F"/>
    <w:rsid w:val="00116B61"/>
    <w:rsid w:val="00117CFF"/>
    <w:rsid w:val="00121423"/>
    <w:rsid w:val="00124A5F"/>
    <w:rsid w:val="00124C9C"/>
    <w:rsid w:val="0012519E"/>
    <w:rsid w:val="00125C4A"/>
    <w:rsid w:val="001302C9"/>
    <w:rsid w:val="00134A6D"/>
    <w:rsid w:val="00134DE9"/>
    <w:rsid w:val="001417E2"/>
    <w:rsid w:val="001418E3"/>
    <w:rsid w:val="00144145"/>
    <w:rsid w:val="00144483"/>
    <w:rsid w:val="001450DD"/>
    <w:rsid w:val="00147A61"/>
    <w:rsid w:val="00150F47"/>
    <w:rsid w:val="001513E6"/>
    <w:rsid w:val="00151DD5"/>
    <w:rsid w:val="00154142"/>
    <w:rsid w:val="001547C4"/>
    <w:rsid w:val="00164450"/>
    <w:rsid w:val="001649FB"/>
    <w:rsid w:val="0016591B"/>
    <w:rsid w:val="00166149"/>
    <w:rsid w:val="00166798"/>
    <w:rsid w:val="0016691C"/>
    <w:rsid w:val="00166F01"/>
    <w:rsid w:val="0016709A"/>
    <w:rsid w:val="0017346B"/>
    <w:rsid w:val="001737A6"/>
    <w:rsid w:val="001741F7"/>
    <w:rsid w:val="00174281"/>
    <w:rsid w:val="0017444C"/>
    <w:rsid w:val="0017510D"/>
    <w:rsid w:val="0017678F"/>
    <w:rsid w:val="00181677"/>
    <w:rsid w:val="00183B45"/>
    <w:rsid w:val="001854A9"/>
    <w:rsid w:val="00187161"/>
    <w:rsid w:val="00190793"/>
    <w:rsid w:val="0019378A"/>
    <w:rsid w:val="00197FDD"/>
    <w:rsid w:val="001A110D"/>
    <w:rsid w:val="001A3886"/>
    <w:rsid w:val="001A399A"/>
    <w:rsid w:val="001A531E"/>
    <w:rsid w:val="001A5DCB"/>
    <w:rsid w:val="001A61A1"/>
    <w:rsid w:val="001A6E04"/>
    <w:rsid w:val="001A74BB"/>
    <w:rsid w:val="001B0C03"/>
    <w:rsid w:val="001B134B"/>
    <w:rsid w:val="001B1E8D"/>
    <w:rsid w:val="001B2363"/>
    <w:rsid w:val="001B515C"/>
    <w:rsid w:val="001B718F"/>
    <w:rsid w:val="001C220B"/>
    <w:rsid w:val="001C4F30"/>
    <w:rsid w:val="001C4FE0"/>
    <w:rsid w:val="001C5B10"/>
    <w:rsid w:val="001C5E8D"/>
    <w:rsid w:val="001C6720"/>
    <w:rsid w:val="001C7087"/>
    <w:rsid w:val="001C7CE3"/>
    <w:rsid w:val="001D28DD"/>
    <w:rsid w:val="001D38C8"/>
    <w:rsid w:val="001D5484"/>
    <w:rsid w:val="001D5A6F"/>
    <w:rsid w:val="001D690E"/>
    <w:rsid w:val="001D6FCA"/>
    <w:rsid w:val="001E17FF"/>
    <w:rsid w:val="001E52C6"/>
    <w:rsid w:val="001E54F7"/>
    <w:rsid w:val="001F3073"/>
    <w:rsid w:val="001F77CD"/>
    <w:rsid w:val="002015A4"/>
    <w:rsid w:val="00203D28"/>
    <w:rsid w:val="0020407C"/>
    <w:rsid w:val="002054FE"/>
    <w:rsid w:val="00206154"/>
    <w:rsid w:val="002071C1"/>
    <w:rsid w:val="00210BC7"/>
    <w:rsid w:val="00211505"/>
    <w:rsid w:val="00211634"/>
    <w:rsid w:val="00211A74"/>
    <w:rsid w:val="00212063"/>
    <w:rsid w:val="002142F5"/>
    <w:rsid w:val="002148B0"/>
    <w:rsid w:val="002165A2"/>
    <w:rsid w:val="0022031E"/>
    <w:rsid w:val="00220ED8"/>
    <w:rsid w:val="00221DA3"/>
    <w:rsid w:val="00223C11"/>
    <w:rsid w:val="0022533B"/>
    <w:rsid w:val="002254E9"/>
    <w:rsid w:val="00231866"/>
    <w:rsid w:val="00231A85"/>
    <w:rsid w:val="00232C38"/>
    <w:rsid w:val="002356B5"/>
    <w:rsid w:val="002361E4"/>
    <w:rsid w:val="00236B6E"/>
    <w:rsid w:val="00236C2A"/>
    <w:rsid w:val="00236E02"/>
    <w:rsid w:val="00237B55"/>
    <w:rsid w:val="00237B5F"/>
    <w:rsid w:val="0024199F"/>
    <w:rsid w:val="002464A4"/>
    <w:rsid w:val="00246BFF"/>
    <w:rsid w:val="00246F48"/>
    <w:rsid w:val="00247672"/>
    <w:rsid w:val="0025552B"/>
    <w:rsid w:val="0025621A"/>
    <w:rsid w:val="00256DE8"/>
    <w:rsid w:val="00257251"/>
    <w:rsid w:val="00260C81"/>
    <w:rsid w:val="0026379F"/>
    <w:rsid w:val="00263D7D"/>
    <w:rsid w:val="00264674"/>
    <w:rsid w:val="00264EE3"/>
    <w:rsid w:val="00265FD7"/>
    <w:rsid w:val="00267A7C"/>
    <w:rsid w:val="00267B70"/>
    <w:rsid w:val="00270814"/>
    <w:rsid w:val="00270DAB"/>
    <w:rsid w:val="00272661"/>
    <w:rsid w:val="00273C3B"/>
    <w:rsid w:val="002750C1"/>
    <w:rsid w:val="00275317"/>
    <w:rsid w:val="00275FAB"/>
    <w:rsid w:val="0027611D"/>
    <w:rsid w:val="00285E00"/>
    <w:rsid w:val="0028693E"/>
    <w:rsid w:val="00287081"/>
    <w:rsid w:val="00287F1E"/>
    <w:rsid w:val="00293237"/>
    <w:rsid w:val="002966A0"/>
    <w:rsid w:val="002A084D"/>
    <w:rsid w:val="002A1839"/>
    <w:rsid w:val="002A205C"/>
    <w:rsid w:val="002A41D7"/>
    <w:rsid w:val="002A4309"/>
    <w:rsid w:val="002A4721"/>
    <w:rsid w:val="002B07A7"/>
    <w:rsid w:val="002B2DA3"/>
    <w:rsid w:val="002B602D"/>
    <w:rsid w:val="002C26B4"/>
    <w:rsid w:val="002C445B"/>
    <w:rsid w:val="002C6189"/>
    <w:rsid w:val="002C7387"/>
    <w:rsid w:val="002C77AF"/>
    <w:rsid w:val="002D3E19"/>
    <w:rsid w:val="002D6F83"/>
    <w:rsid w:val="002D7D26"/>
    <w:rsid w:val="002E07DA"/>
    <w:rsid w:val="002E16F8"/>
    <w:rsid w:val="002E282B"/>
    <w:rsid w:val="002E3316"/>
    <w:rsid w:val="002E3CC5"/>
    <w:rsid w:val="002E47DD"/>
    <w:rsid w:val="002E567E"/>
    <w:rsid w:val="002E5A04"/>
    <w:rsid w:val="002E7888"/>
    <w:rsid w:val="002F0C04"/>
    <w:rsid w:val="002F12B7"/>
    <w:rsid w:val="002F2EB8"/>
    <w:rsid w:val="002F35B9"/>
    <w:rsid w:val="002F5280"/>
    <w:rsid w:val="002F55AC"/>
    <w:rsid w:val="002F6430"/>
    <w:rsid w:val="002F6DB2"/>
    <w:rsid w:val="002F6E0F"/>
    <w:rsid w:val="0030033A"/>
    <w:rsid w:val="00300375"/>
    <w:rsid w:val="003015E5"/>
    <w:rsid w:val="00304F22"/>
    <w:rsid w:val="00305797"/>
    <w:rsid w:val="00306C68"/>
    <w:rsid w:val="0031110D"/>
    <w:rsid w:val="00311CF9"/>
    <w:rsid w:val="00311E81"/>
    <w:rsid w:val="0031240A"/>
    <w:rsid w:val="00313D5C"/>
    <w:rsid w:val="0031511E"/>
    <w:rsid w:val="00315FF5"/>
    <w:rsid w:val="00316CDB"/>
    <w:rsid w:val="003214DE"/>
    <w:rsid w:val="00322AE9"/>
    <w:rsid w:val="0032346A"/>
    <w:rsid w:val="00323EAE"/>
    <w:rsid w:val="00324C65"/>
    <w:rsid w:val="00324DC2"/>
    <w:rsid w:val="00325BAC"/>
    <w:rsid w:val="00325E07"/>
    <w:rsid w:val="00325EE0"/>
    <w:rsid w:val="00330BB2"/>
    <w:rsid w:val="00330BC1"/>
    <w:rsid w:val="00333B9A"/>
    <w:rsid w:val="0033479E"/>
    <w:rsid w:val="00336E58"/>
    <w:rsid w:val="00340030"/>
    <w:rsid w:val="0034200D"/>
    <w:rsid w:val="003432BC"/>
    <w:rsid w:val="0034403F"/>
    <w:rsid w:val="003442A6"/>
    <w:rsid w:val="003469ED"/>
    <w:rsid w:val="00355FA8"/>
    <w:rsid w:val="0035609E"/>
    <w:rsid w:val="00356966"/>
    <w:rsid w:val="00357350"/>
    <w:rsid w:val="00364252"/>
    <w:rsid w:val="003653A9"/>
    <w:rsid w:val="00370B9A"/>
    <w:rsid w:val="00372182"/>
    <w:rsid w:val="00373006"/>
    <w:rsid w:val="003730CF"/>
    <w:rsid w:val="0037326B"/>
    <w:rsid w:val="003739EA"/>
    <w:rsid w:val="00374575"/>
    <w:rsid w:val="003748BC"/>
    <w:rsid w:val="0037782B"/>
    <w:rsid w:val="0037791E"/>
    <w:rsid w:val="003805CB"/>
    <w:rsid w:val="00380E96"/>
    <w:rsid w:val="00381279"/>
    <w:rsid w:val="00386A83"/>
    <w:rsid w:val="003873CC"/>
    <w:rsid w:val="00392E81"/>
    <w:rsid w:val="00393802"/>
    <w:rsid w:val="00394050"/>
    <w:rsid w:val="003948F7"/>
    <w:rsid w:val="003953A1"/>
    <w:rsid w:val="00395F4C"/>
    <w:rsid w:val="003963A6"/>
    <w:rsid w:val="003A153D"/>
    <w:rsid w:val="003A1D1C"/>
    <w:rsid w:val="003A27EC"/>
    <w:rsid w:val="003A367D"/>
    <w:rsid w:val="003A4D1D"/>
    <w:rsid w:val="003A56B1"/>
    <w:rsid w:val="003A6749"/>
    <w:rsid w:val="003A7366"/>
    <w:rsid w:val="003A7CA0"/>
    <w:rsid w:val="003B0DBE"/>
    <w:rsid w:val="003B1DA4"/>
    <w:rsid w:val="003B35A8"/>
    <w:rsid w:val="003B7D5E"/>
    <w:rsid w:val="003C088C"/>
    <w:rsid w:val="003C09DC"/>
    <w:rsid w:val="003C1FE5"/>
    <w:rsid w:val="003C331B"/>
    <w:rsid w:val="003C3D45"/>
    <w:rsid w:val="003C6999"/>
    <w:rsid w:val="003D11B3"/>
    <w:rsid w:val="003D3156"/>
    <w:rsid w:val="003D3822"/>
    <w:rsid w:val="003D39C9"/>
    <w:rsid w:val="003D44F0"/>
    <w:rsid w:val="003D6DAC"/>
    <w:rsid w:val="003D726D"/>
    <w:rsid w:val="003D7D5D"/>
    <w:rsid w:val="003E114B"/>
    <w:rsid w:val="003E35F0"/>
    <w:rsid w:val="003E6CCC"/>
    <w:rsid w:val="003F0C96"/>
    <w:rsid w:val="003F18BC"/>
    <w:rsid w:val="003F1A22"/>
    <w:rsid w:val="003F393F"/>
    <w:rsid w:val="003F68D8"/>
    <w:rsid w:val="003F76E6"/>
    <w:rsid w:val="004032E4"/>
    <w:rsid w:val="0041136D"/>
    <w:rsid w:val="0041213F"/>
    <w:rsid w:val="004125BC"/>
    <w:rsid w:val="00414AFE"/>
    <w:rsid w:val="00416F66"/>
    <w:rsid w:val="004174C4"/>
    <w:rsid w:val="00417B4E"/>
    <w:rsid w:val="00417EBE"/>
    <w:rsid w:val="004248B0"/>
    <w:rsid w:val="004257EB"/>
    <w:rsid w:val="0042696A"/>
    <w:rsid w:val="00426A78"/>
    <w:rsid w:val="0043286A"/>
    <w:rsid w:val="004330EA"/>
    <w:rsid w:val="00434959"/>
    <w:rsid w:val="00434BF5"/>
    <w:rsid w:val="004361EB"/>
    <w:rsid w:val="00437306"/>
    <w:rsid w:val="00437780"/>
    <w:rsid w:val="00444878"/>
    <w:rsid w:val="00445BBD"/>
    <w:rsid w:val="004468BB"/>
    <w:rsid w:val="00446B36"/>
    <w:rsid w:val="00447852"/>
    <w:rsid w:val="004508BA"/>
    <w:rsid w:val="00450FD9"/>
    <w:rsid w:val="0045140B"/>
    <w:rsid w:val="004520A9"/>
    <w:rsid w:val="00457366"/>
    <w:rsid w:val="004603B5"/>
    <w:rsid w:val="00462711"/>
    <w:rsid w:val="00462E61"/>
    <w:rsid w:val="00463312"/>
    <w:rsid w:val="00463A48"/>
    <w:rsid w:val="00467E2F"/>
    <w:rsid w:val="004706F8"/>
    <w:rsid w:val="004738EA"/>
    <w:rsid w:val="00475016"/>
    <w:rsid w:val="00481415"/>
    <w:rsid w:val="00485948"/>
    <w:rsid w:val="00485BCE"/>
    <w:rsid w:val="004869EA"/>
    <w:rsid w:val="00491BF1"/>
    <w:rsid w:val="0049262D"/>
    <w:rsid w:val="00492981"/>
    <w:rsid w:val="00492C50"/>
    <w:rsid w:val="00492FA9"/>
    <w:rsid w:val="004A14C9"/>
    <w:rsid w:val="004A21D1"/>
    <w:rsid w:val="004A3091"/>
    <w:rsid w:val="004A5502"/>
    <w:rsid w:val="004A6915"/>
    <w:rsid w:val="004A6E4B"/>
    <w:rsid w:val="004A7761"/>
    <w:rsid w:val="004B08E8"/>
    <w:rsid w:val="004B0970"/>
    <w:rsid w:val="004B1541"/>
    <w:rsid w:val="004B6269"/>
    <w:rsid w:val="004B7B24"/>
    <w:rsid w:val="004C161B"/>
    <w:rsid w:val="004C54A3"/>
    <w:rsid w:val="004C6913"/>
    <w:rsid w:val="004C7CDD"/>
    <w:rsid w:val="004D0A26"/>
    <w:rsid w:val="004D0EC4"/>
    <w:rsid w:val="004D1339"/>
    <w:rsid w:val="004D1787"/>
    <w:rsid w:val="004D390E"/>
    <w:rsid w:val="004D4165"/>
    <w:rsid w:val="004D4509"/>
    <w:rsid w:val="004D69D1"/>
    <w:rsid w:val="004D6A34"/>
    <w:rsid w:val="004E23AC"/>
    <w:rsid w:val="004E27D8"/>
    <w:rsid w:val="004E43B4"/>
    <w:rsid w:val="004F07EA"/>
    <w:rsid w:val="004F2D89"/>
    <w:rsid w:val="004F31D7"/>
    <w:rsid w:val="004F6401"/>
    <w:rsid w:val="00500E7A"/>
    <w:rsid w:val="00501703"/>
    <w:rsid w:val="00504916"/>
    <w:rsid w:val="00504C3D"/>
    <w:rsid w:val="0050589F"/>
    <w:rsid w:val="00511DB0"/>
    <w:rsid w:val="00512D27"/>
    <w:rsid w:val="00513602"/>
    <w:rsid w:val="00515799"/>
    <w:rsid w:val="0051612C"/>
    <w:rsid w:val="00517414"/>
    <w:rsid w:val="00520006"/>
    <w:rsid w:val="00522661"/>
    <w:rsid w:val="00531C5C"/>
    <w:rsid w:val="005331E3"/>
    <w:rsid w:val="00534795"/>
    <w:rsid w:val="0053507E"/>
    <w:rsid w:val="00535448"/>
    <w:rsid w:val="0054264B"/>
    <w:rsid w:val="00543D2E"/>
    <w:rsid w:val="005449D4"/>
    <w:rsid w:val="00544E36"/>
    <w:rsid w:val="0054523B"/>
    <w:rsid w:val="00545A5D"/>
    <w:rsid w:val="00561698"/>
    <w:rsid w:val="005639B1"/>
    <w:rsid w:val="00570824"/>
    <w:rsid w:val="00571673"/>
    <w:rsid w:val="0057294B"/>
    <w:rsid w:val="00575644"/>
    <w:rsid w:val="00576570"/>
    <w:rsid w:val="0057676B"/>
    <w:rsid w:val="0057776E"/>
    <w:rsid w:val="005778FF"/>
    <w:rsid w:val="00577B7D"/>
    <w:rsid w:val="00577EDD"/>
    <w:rsid w:val="0058169B"/>
    <w:rsid w:val="005818D3"/>
    <w:rsid w:val="005828FB"/>
    <w:rsid w:val="0058393B"/>
    <w:rsid w:val="0058438A"/>
    <w:rsid w:val="00594A2C"/>
    <w:rsid w:val="005957B5"/>
    <w:rsid w:val="0059687F"/>
    <w:rsid w:val="0059770A"/>
    <w:rsid w:val="00597B57"/>
    <w:rsid w:val="005A05A8"/>
    <w:rsid w:val="005A0C7A"/>
    <w:rsid w:val="005A2F5A"/>
    <w:rsid w:val="005A531B"/>
    <w:rsid w:val="005B1783"/>
    <w:rsid w:val="005B3001"/>
    <w:rsid w:val="005B31C4"/>
    <w:rsid w:val="005B3CD5"/>
    <w:rsid w:val="005B4D71"/>
    <w:rsid w:val="005B5EE6"/>
    <w:rsid w:val="005B6DE3"/>
    <w:rsid w:val="005B7210"/>
    <w:rsid w:val="005B7FAD"/>
    <w:rsid w:val="005C2257"/>
    <w:rsid w:val="005C337E"/>
    <w:rsid w:val="005C6343"/>
    <w:rsid w:val="005D0415"/>
    <w:rsid w:val="005D0B29"/>
    <w:rsid w:val="005D11DE"/>
    <w:rsid w:val="005D5DE8"/>
    <w:rsid w:val="005E2F0A"/>
    <w:rsid w:val="005E2F31"/>
    <w:rsid w:val="005E36EA"/>
    <w:rsid w:val="005E58C3"/>
    <w:rsid w:val="005E7A48"/>
    <w:rsid w:val="005F6708"/>
    <w:rsid w:val="005F7BE8"/>
    <w:rsid w:val="00603B07"/>
    <w:rsid w:val="006049D6"/>
    <w:rsid w:val="0060541A"/>
    <w:rsid w:val="00605535"/>
    <w:rsid w:val="00606D2D"/>
    <w:rsid w:val="00607D7D"/>
    <w:rsid w:val="0061100F"/>
    <w:rsid w:val="00611D69"/>
    <w:rsid w:val="0061245C"/>
    <w:rsid w:val="00613405"/>
    <w:rsid w:val="00613525"/>
    <w:rsid w:val="00615223"/>
    <w:rsid w:val="006159AC"/>
    <w:rsid w:val="006207D2"/>
    <w:rsid w:val="00620CE9"/>
    <w:rsid w:val="00622E0C"/>
    <w:rsid w:val="006231E5"/>
    <w:rsid w:val="006232F3"/>
    <w:rsid w:val="006233FB"/>
    <w:rsid w:val="006309E3"/>
    <w:rsid w:val="00631017"/>
    <w:rsid w:val="0063360F"/>
    <w:rsid w:val="006336A0"/>
    <w:rsid w:val="00635724"/>
    <w:rsid w:val="00642CAB"/>
    <w:rsid w:val="00644301"/>
    <w:rsid w:val="00644F1B"/>
    <w:rsid w:val="00645CB9"/>
    <w:rsid w:val="00647176"/>
    <w:rsid w:val="006501B6"/>
    <w:rsid w:val="00650B51"/>
    <w:rsid w:val="006511A0"/>
    <w:rsid w:val="006518CE"/>
    <w:rsid w:val="006522E6"/>
    <w:rsid w:val="00653FD7"/>
    <w:rsid w:val="00655284"/>
    <w:rsid w:val="00661643"/>
    <w:rsid w:val="00663267"/>
    <w:rsid w:val="00663BB5"/>
    <w:rsid w:val="0066455A"/>
    <w:rsid w:val="00665BBA"/>
    <w:rsid w:val="00667902"/>
    <w:rsid w:val="00667CB3"/>
    <w:rsid w:val="00670293"/>
    <w:rsid w:val="00670735"/>
    <w:rsid w:val="00670757"/>
    <w:rsid w:val="00672828"/>
    <w:rsid w:val="00672ECC"/>
    <w:rsid w:val="006800CA"/>
    <w:rsid w:val="006811F8"/>
    <w:rsid w:val="0068332E"/>
    <w:rsid w:val="00684870"/>
    <w:rsid w:val="00685260"/>
    <w:rsid w:val="0068573A"/>
    <w:rsid w:val="006876BC"/>
    <w:rsid w:val="00687A4C"/>
    <w:rsid w:val="006923CD"/>
    <w:rsid w:val="006926F3"/>
    <w:rsid w:val="00693D59"/>
    <w:rsid w:val="00694ABF"/>
    <w:rsid w:val="006A180F"/>
    <w:rsid w:val="006A408D"/>
    <w:rsid w:val="006A4F7B"/>
    <w:rsid w:val="006B179F"/>
    <w:rsid w:val="006B38B2"/>
    <w:rsid w:val="006B3B33"/>
    <w:rsid w:val="006B4809"/>
    <w:rsid w:val="006C1B3D"/>
    <w:rsid w:val="006D1CFC"/>
    <w:rsid w:val="006D3C5C"/>
    <w:rsid w:val="006D59EA"/>
    <w:rsid w:val="006D6AE3"/>
    <w:rsid w:val="006E09F7"/>
    <w:rsid w:val="006E0E60"/>
    <w:rsid w:val="006E4B64"/>
    <w:rsid w:val="006E4E90"/>
    <w:rsid w:val="006E59C0"/>
    <w:rsid w:val="006F075E"/>
    <w:rsid w:val="006F12A5"/>
    <w:rsid w:val="006F597B"/>
    <w:rsid w:val="006F7570"/>
    <w:rsid w:val="00701BCC"/>
    <w:rsid w:val="00702C2C"/>
    <w:rsid w:val="00703423"/>
    <w:rsid w:val="00704591"/>
    <w:rsid w:val="00704791"/>
    <w:rsid w:val="00707055"/>
    <w:rsid w:val="00713142"/>
    <w:rsid w:val="007148D0"/>
    <w:rsid w:val="00717161"/>
    <w:rsid w:val="00717FA1"/>
    <w:rsid w:val="007211E9"/>
    <w:rsid w:val="00724529"/>
    <w:rsid w:val="0072469D"/>
    <w:rsid w:val="00724B84"/>
    <w:rsid w:val="007253D0"/>
    <w:rsid w:val="00726150"/>
    <w:rsid w:val="00740669"/>
    <w:rsid w:val="00741A58"/>
    <w:rsid w:val="00741D08"/>
    <w:rsid w:val="00742052"/>
    <w:rsid w:val="007429C0"/>
    <w:rsid w:val="00742B29"/>
    <w:rsid w:val="00744D00"/>
    <w:rsid w:val="00746322"/>
    <w:rsid w:val="00750BF1"/>
    <w:rsid w:val="00751BE0"/>
    <w:rsid w:val="00752558"/>
    <w:rsid w:val="00752FC4"/>
    <w:rsid w:val="0075306C"/>
    <w:rsid w:val="00755375"/>
    <w:rsid w:val="00756546"/>
    <w:rsid w:val="007610BE"/>
    <w:rsid w:val="00763A4A"/>
    <w:rsid w:val="00765269"/>
    <w:rsid w:val="007659C5"/>
    <w:rsid w:val="00782ABF"/>
    <w:rsid w:val="00786A0E"/>
    <w:rsid w:val="00786A4B"/>
    <w:rsid w:val="0079507E"/>
    <w:rsid w:val="00795F7F"/>
    <w:rsid w:val="00796206"/>
    <w:rsid w:val="007A1B4D"/>
    <w:rsid w:val="007A2067"/>
    <w:rsid w:val="007A38A8"/>
    <w:rsid w:val="007A43EA"/>
    <w:rsid w:val="007A6372"/>
    <w:rsid w:val="007A68C2"/>
    <w:rsid w:val="007A6EED"/>
    <w:rsid w:val="007A715C"/>
    <w:rsid w:val="007A7C13"/>
    <w:rsid w:val="007B44F0"/>
    <w:rsid w:val="007B6F9A"/>
    <w:rsid w:val="007B7C8A"/>
    <w:rsid w:val="007C0F4C"/>
    <w:rsid w:val="007C34B1"/>
    <w:rsid w:val="007C4062"/>
    <w:rsid w:val="007C6753"/>
    <w:rsid w:val="007C705B"/>
    <w:rsid w:val="007C765B"/>
    <w:rsid w:val="007D23A7"/>
    <w:rsid w:val="007D2652"/>
    <w:rsid w:val="007D353B"/>
    <w:rsid w:val="007D4AEB"/>
    <w:rsid w:val="007D6D8A"/>
    <w:rsid w:val="007D7389"/>
    <w:rsid w:val="007E14F9"/>
    <w:rsid w:val="007E1817"/>
    <w:rsid w:val="007E36F9"/>
    <w:rsid w:val="007E3931"/>
    <w:rsid w:val="007E42F1"/>
    <w:rsid w:val="007E4515"/>
    <w:rsid w:val="007E46D6"/>
    <w:rsid w:val="007E5B49"/>
    <w:rsid w:val="007E6344"/>
    <w:rsid w:val="007E686C"/>
    <w:rsid w:val="007E6980"/>
    <w:rsid w:val="007F2055"/>
    <w:rsid w:val="007F7995"/>
    <w:rsid w:val="008037C4"/>
    <w:rsid w:val="00804D9F"/>
    <w:rsid w:val="00805BCF"/>
    <w:rsid w:val="00811B97"/>
    <w:rsid w:val="00813877"/>
    <w:rsid w:val="00815AF7"/>
    <w:rsid w:val="008208A9"/>
    <w:rsid w:val="0082238D"/>
    <w:rsid w:val="0082239A"/>
    <w:rsid w:val="00830D28"/>
    <w:rsid w:val="0083118A"/>
    <w:rsid w:val="00832068"/>
    <w:rsid w:val="0083327F"/>
    <w:rsid w:val="008345ED"/>
    <w:rsid w:val="00837D23"/>
    <w:rsid w:val="00840075"/>
    <w:rsid w:val="008423C0"/>
    <w:rsid w:val="008427EE"/>
    <w:rsid w:val="00843C2F"/>
    <w:rsid w:val="00843E7A"/>
    <w:rsid w:val="0084576B"/>
    <w:rsid w:val="00845E93"/>
    <w:rsid w:val="00846B3F"/>
    <w:rsid w:val="00847463"/>
    <w:rsid w:val="00854CF4"/>
    <w:rsid w:val="00856E84"/>
    <w:rsid w:val="00862F14"/>
    <w:rsid w:val="00863B72"/>
    <w:rsid w:val="0086537E"/>
    <w:rsid w:val="0086750E"/>
    <w:rsid w:val="00867B91"/>
    <w:rsid w:val="00871F32"/>
    <w:rsid w:val="00872379"/>
    <w:rsid w:val="00873492"/>
    <w:rsid w:val="008762ED"/>
    <w:rsid w:val="00877C6B"/>
    <w:rsid w:val="00880555"/>
    <w:rsid w:val="00880910"/>
    <w:rsid w:val="00880B21"/>
    <w:rsid w:val="00881E7F"/>
    <w:rsid w:val="008828B5"/>
    <w:rsid w:val="008852FA"/>
    <w:rsid w:val="008924E5"/>
    <w:rsid w:val="008932D0"/>
    <w:rsid w:val="00896723"/>
    <w:rsid w:val="008A0F7C"/>
    <w:rsid w:val="008A38A3"/>
    <w:rsid w:val="008A4DC1"/>
    <w:rsid w:val="008A68B1"/>
    <w:rsid w:val="008B0495"/>
    <w:rsid w:val="008B0AE7"/>
    <w:rsid w:val="008B0F99"/>
    <w:rsid w:val="008B2517"/>
    <w:rsid w:val="008B4225"/>
    <w:rsid w:val="008B6580"/>
    <w:rsid w:val="008C056F"/>
    <w:rsid w:val="008C1492"/>
    <w:rsid w:val="008C1D68"/>
    <w:rsid w:val="008C4128"/>
    <w:rsid w:val="008C4976"/>
    <w:rsid w:val="008C62E8"/>
    <w:rsid w:val="008C6B1C"/>
    <w:rsid w:val="008D068C"/>
    <w:rsid w:val="008D2728"/>
    <w:rsid w:val="008D2D54"/>
    <w:rsid w:val="008D3578"/>
    <w:rsid w:val="008D484F"/>
    <w:rsid w:val="008D73B4"/>
    <w:rsid w:val="008D788F"/>
    <w:rsid w:val="008E02AB"/>
    <w:rsid w:val="008E08D8"/>
    <w:rsid w:val="008E5C69"/>
    <w:rsid w:val="008E7283"/>
    <w:rsid w:val="008F024A"/>
    <w:rsid w:val="008F3AA2"/>
    <w:rsid w:val="008F3C94"/>
    <w:rsid w:val="008F4300"/>
    <w:rsid w:val="00902DAF"/>
    <w:rsid w:val="009072D6"/>
    <w:rsid w:val="00911C0D"/>
    <w:rsid w:val="00912B68"/>
    <w:rsid w:val="00913832"/>
    <w:rsid w:val="0091480E"/>
    <w:rsid w:val="00916000"/>
    <w:rsid w:val="00916182"/>
    <w:rsid w:val="00916FF6"/>
    <w:rsid w:val="00917620"/>
    <w:rsid w:val="00921343"/>
    <w:rsid w:val="00921662"/>
    <w:rsid w:val="00921CED"/>
    <w:rsid w:val="009220C9"/>
    <w:rsid w:val="00922155"/>
    <w:rsid w:val="009245C5"/>
    <w:rsid w:val="009249F4"/>
    <w:rsid w:val="00925EDA"/>
    <w:rsid w:val="00927F50"/>
    <w:rsid w:val="009301CB"/>
    <w:rsid w:val="00931C95"/>
    <w:rsid w:val="009361F2"/>
    <w:rsid w:val="009419A1"/>
    <w:rsid w:val="00941A6F"/>
    <w:rsid w:val="009446B8"/>
    <w:rsid w:val="0094735B"/>
    <w:rsid w:val="0095171E"/>
    <w:rsid w:val="009517B7"/>
    <w:rsid w:val="00952651"/>
    <w:rsid w:val="00952987"/>
    <w:rsid w:val="00954243"/>
    <w:rsid w:val="00964733"/>
    <w:rsid w:val="00965405"/>
    <w:rsid w:val="009660BA"/>
    <w:rsid w:val="00966A1D"/>
    <w:rsid w:val="00967B06"/>
    <w:rsid w:val="00970E2C"/>
    <w:rsid w:val="009754F0"/>
    <w:rsid w:val="00976C24"/>
    <w:rsid w:val="0098037B"/>
    <w:rsid w:val="00982A08"/>
    <w:rsid w:val="00983B52"/>
    <w:rsid w:val="009852F1"/>
    <w:rsid w:val="00990BE0"/>
    <w:rsid w:val="00993DDB"/>
    <w:rsid w:val="0099434F"/>
    <w:rsid w:val="0099672E"/>
    <w:rsid w:val="009A089B"/>
    <w:rsid w:val="009A546C"/>
    <w:rsid w:val="009B3153"/>
    <w:rsid w:val="009B65B0"/>
    <w:rsid w:val="009C00BD"/>
    <w:rsid w:val="009C1A2A"/>
    <w:rsid w:val="009C1AFC"/>
    <w:rsid w:val="009C2494"/>
    <w:rsid w:val="009C2F02"/>
    <w:rsid w:val="009C3153"/>
    <w:rsid w:val="009C32B5"/>
    <w:rsid w:val="009C3630"/>
    <w:rsid w:val="009C37E9"/>
    <w:rsid w:val="009C5DB4"/>
    <w:rsid w:val="009C7A3A"/>
    <w:rsid w:val="009C7DCE"/>
    <w:rsid w:val="009D039E"/>
    <w:rsid w:val="009D1736"/>
    <w:rsid w:val="009D1903"/>
    <w:rsid w:val="009D3174"/>
    <w:rsid w:val="009D3E9C"/>
    <w:rsid w:val="009D44D8"/>
    <w:rsid w:val="009D60AB"/>
    <w:rsid w:val="009D6CAF"/>
    <w:rsid w:val="009D6DF4"/>
    <w:rsid w:val="009E1EEC"/>
    <w:rsid w:val="009E4DB6"/>
    <w:rsid w:val="009E52B4"/>
    <w:rsid w:val="009E73C2"/>
    <w:rsid w:val="009F48FC"/>
    <w:rsid w:val="009F5934"/>
    <w:rsid w:val="009F5F9B"/>
    <w:rsid w:val="009F69EE"/>
    <w:rsid w:val="00A000FF"/>
    <w:rsid w:val="00A005E4"/>
    <w:rsid w:val="00A00DA2"/>
    <w:rsid w:val="00A0292F"/>
    <w:rsid w:val="00A03AD9"/>
    <w:rsid w:val="00A04DF9"/>
    <w:rsid w:val="00A0622F"/>
    <w:rsid w:val="00A063C0"/>
    <w:rsid w:val="00A07840"/>
    <w:rsid w:val="00A12546"/>
    <w:rsid w:val="00A14893"/>
    <w:rsid w:val="00A17C92"/>
    <w:rsid w:val="00A20625"/>
    <w:rsid w:val="00A20C9A"/>
    <w:rsid w:val="00A22018"/>
    <w:rsid w:val="00A253F9"/>
    <w:rsid w:val="00A266C5"/>
    <w:rsid w:val="00A300F2"/>
    <w:rsid w:val="00A309F5"/>
    <w:rsid w:val="00A31BC2"/>
    <w:rsid w:val="00A330E8"/>
    <w:rsid w:val="00A332A5"/>
    <w:rsid w:val="00A35F75"/>
    <w:rsid w:val="00A42F12"/>
    <w:rsid w:val="00A43DC1"/>
    <w:rsid w:val="00A45140"/>
    <w:rsid w:val="00A45A7E"/>
    <w:rsid w:val="00A47546"/>
    <w:rsid w:val="00A508CD"/>
    <w:rsid w:val="00A516A0"/>
    <w:rsid w:val="00A52460"/>
    <w:rsid w:val="00A537A3"/>
    <w:rsid w:val="00A570E7"/>
    <w:rsid w:val="00A57473"/>
    <w:rsid w:val="00A63596"/>
    <w:rsid w:val="00A639D3"/>
    <w:rsid w:val="00A652CF"/>
    <w:rsid w:val="00A67A78"/>
    <w:rsid w:val="00A71D23"/>
    <w:rsid w:val="00A754A3"/>
    <w:rsid w:val="00A754CA"/>
    <w:rsid w:val="00A75C19"/>
    <w:rsid w:val="00A76CE2"/>
    <w:rsid w:val="00A77996"/>
    <w:rsid w:val="00A80390"/>
    <w:rsid w:val="00A80880"/>
    <w:rsid w:val="00A81A55"/>
    <w:rsid w:val="00A84710"/>
    <w:rsid w:val="00A85266"/>
    <w:rsid w:val="00A855BB"/>
    <w:rsid w:val="00A86547"/>
    <w:rsid w:val="00A87547"/>
    <w:rsid w:val="00A87B5C"/>
    <w:rsid w:val="00A904E2"/>
    <w:rsid w:val="00A92464"/>
    <w:rsid w:val="00A9567D"/>
    <w:rsid w:val="00A9573D"/>
    <w:rsid w:val="00A97016"/>
    <w:rsid w:val="00AA1121"/>
    <w:rsid w:val="00AA3BB2"/>
    <w:rsid w:val="00AA44A3"/>
    <w:rsid w:val="00AA48BA"/>
    <w:rsid w:val="00AA4C5E"/>
    <w:rsid w:val="00AA74FB"/>
    <w:rsid w:val="00AB01E3"/>
    <w:rsid w:val="00AB0B16"/>
    <w:rsid w:val="00AB18BA"/>
    <w:rsid w:val="00AB4FCB"/>
    <w:rsid w:val="00AC2780"/>
    <w:rsid w:val="00AC2BC0"/>
    <w:rsid w:val="00AC58C2"/>
    <w:rsid w:val="00AC609A"/>
    <w:rsid w:val="00AC7187"/>
    <w:rsid w:val="00AC761A"/>
    <w:rsid w:val="00AC7E32"/>
    <w:rsid w:val="00AD2CEE"/>
    <w:rsid w:val="00AD3E42"/>
    <w:rsid w:val="00AD5AF3"/>
    <w:rsid w:val="00AD5B3D"/>
    <w:rsid w:val="00AE051E"/>
    <w:rsid w:val="00AE30D8"/>
    <w:rsid w:val="00AE3105"/>
    <w:rsid w:val="00AE34F7"/>
    <w:rsid w:val="00AE419F"/>
    <w:rsid w:val="00AE4F05"/>
    <w:rsid w:val="00AF0DD0"/>
    <w:rsid w:val="00AF2A74"/>
    <w:rsid w:val="00AF4218"/>
    <w:rsid w:val="00AF514E"/>
    <w:rsid w:val="00AF6E9D"/>
    <w:rsid w:val="00AF6EB3"/>
    <w:rsid w:val="00AF7CD9"/>
    <w:rsid w:val="00B00A03"/>
    <w:rsid w:val="00B00A39"/>
    <w:rsid w:val="00B016C7"/>
    <w:rsid w:val="00B03C0B"/>
    <w:rsid w:val="00B0432E"/>
    <w:rsid w:val="00B06A28"/>
    <w:rsid w:val="00B07FD1"/>
    <w:rsid w:val="00B10D3B"/>
    <w:rsid w:val="00B1233E"/>
    <w:rsid w:val="00B124F0"/>
    <w:rsid w:val="00B1356A"/>
    <w:rsid w:val="00B13C84"/>
    <w:rsid w:val="00B13DE8"/>
    <w:rsid w:val="00B14542"/>
    <w:rsid w:val="00B14C2D"/>
    <w:rsid w:val="00B14F9A"/>
    <w:rsid w:val="00B16416"/>
    <w:rsid w:val="00B16FBE"/>
    <w:rsid w:val="00B20ADD"/>
    <w:rsid w:val="00B20DFA"/>
    <w:rsid w:val="00B30AD1"/>
    <w:rsid w:val="00B31123"/>
    <w:rsid w:val="00B31ABD"/>
    <w:rsid w:val="00B33A37"/>
    <w:rsid w:val="00B345E2"/>
    <w:rsid w:val="00B3694C"/>
    <w:rsid w:val="00B37AAD"/>
    <w:rsid w:val="00B434A0"/>
    <w:rsid w:val="00B4567D"/>
    <w:rsid w:val="00B46A20"/>
    <w:rsid w:val="00B50C9F"/>
    <w:rsid w:val="00B523B9"/>
    <w:rsid w:val="00B52912"/>
    <w:rsid w:val="00B52936"/>
    <w:rsid w:val="00B52A30"/>
    <w:rsid w:val="00B54AB9"/>
    <w:rsid w:val="00B6058C"/>
    <w:rsid w:val="00B609F1"/>
    <w:rsid w:val="00B60AF4"/>
    <w:rsid w:val="00B611AC"/>
    <w:rsid w:val="00B61EE1"/>
    <w:rsid w:val="00B63A65"/>
    <w:rsid w:val="00B6418B"/>
    <w:rsid w:val="00B64D0A"/>
    <w:rsid w:val="00B66622"/>
    <w:rsid w:val="00B67D6E"/>
    <w:rsid w:val="00B70B93"/>
    <w:rsid w:val="00B75344"/>
    <w:rsid w:val="00B800EF"/>
    <w:rsid w:val="00B827B0"/>
    <w:rsid w:val="00B83221"/>
    <w:rsid w:val="00B854A7"/>
    <w:rsid w:val="00B85ED4"/>
    <w:rsid w:val="00B85F50"/>
    <w:rsid w:val="00B86620"/>
    <w:rsid w:val="00B872A6"/>
    <w:rsid w:val="00B87736"/>
    <w:rsid w:val="00B912BF"/>
    <w:rsid w:val="00B951C6"/>
    <w:rsid w:val="00B95730"/>
    <w:rsid w:val="00BA0A78"/>
    <w:rsid w:val="00BA11E0"/>
    <w:rsid w:val="00BA363A"/>
    <w:rsid w:val="00BA3F45"/>
    <w:rsid w:val="00BA4B03"/>
    <w:rsid w:val="00BA5071"/>
    <w:rsid w:val="00BA58BF"/>
    <w:rsid w:val="00BA7A7C"/>
    <w:rsid w:val="00BA7A89"/>
    <w:rsid w:val="00BA7CD5"/>
    <w:rsid w:val="00BA7F77"/>
    <w:rsid w:val="00BB0D09"/>
    <w:rsid w:val="00BB270D"/>
    <w:rsid w:val="00BB2973"/>
    <w:rsid w:val="00BB3F64"/>
    <w:rsid w:val="00BB6255"/>
    <w:rsid w:val="00BB73CB"/>
    <w:rsid w:val="00BC076C"/>
    <w:rsid w:val="00BC357E"/>
    <w:rsid w:val="00BC5A44"/>
    <w:rsid w:val="00BD08FD"/>
    <w:rsid w:val="00BD0F47"/>
    <w:rsid w:val="00BD1D94"/>
    <w:rsid w:val="00BD2C59"/>
    <w:rsid w:val="00BD37BD"/>
    <w:rsid w:val="00BD5C02"/>
    <w:rsid w:val="00BD7C8D"/>
    <w:rsid w:val="00BD7D61"/>
    <w:rsid w:val="00BE03EC"/>
    <w:rsid w:val="00BE36BA"/>
    <w:rsid w:val="00BE5F07"/>
    <w:rsid w:val="00BE63C6"/>
    <w:rsid w:val="00BE7CEB"/>
    <w:rsid w:val="00BF41B9"/>
    <w:rsid w:val="00BF4CE4"/>
    <w:rsid w:val="00BF6FFB"/>
    <w:rsid w:val="00BF724B"/>
    <w:rsid w:val="00C00A7D"/>
    <w:rsid w:val="00C02170"/>
    <w:rsid w:val="00C02584"/>
    <w:rsid w:val="00C04B07"/>
    <w:rsid w:val="00C06763"/>
    <w:rsid w:val="00C06C0E"/>
    <w:rsid w:val="00C12ED5"/>
    <w:rsid w:val="00C13923"/>
    <w:rsid w:val="00C1583B"/>
    <w:rsid w:val="00C239D0"/>
    <w:rsid w:val="00C266E6"/>
    <w:rsid w:val="00C271EE"/>
    <w:rsid w:val="00C27E71"/>
    <w:rsid w:val="00C30484"/>
    <w:rsid w:val="00C3085B"/>
    <w:rsid w:val="00C32C65"/>
    <w:rsid w:val="00C32E90"/>
    <w:rsid w:val="00C33CAB"/>
    <w:rsid w:val="00C34C52"/>
    <w:rsid w:val="00C362A8"/>
    <w:rsid w:val="00C36CF0"/>
    <w:rsid w:val="00C3730C"/>
    <w:rsid w:val="00C37DE6"/>
    <w:rsid w:val="00C41033"/>
    <w:rsid w:val="00C41BBD"/>
    <w:rsid w:val="00C42B89"/>
    <w:rsid w:val="00C42D9C"/>
    <w:rsid w:val="00C43CE1"/>
    <w:rsid w:val="00C44728"/>
    <w:rsid w:val="00C50741"/>
    <w:rsid w:val="00C50FA0"/>
    <w:rsid w:val="00C51F9E"/>
    <w:rsid w:val="00C5237F"/>
    <w:rsid w:val="00C5567F"/>
    <w:rsid w:val="00C57F94"/>
    <w:rsid w:val="00C60C2C"/>
    <w:rsid w:val="00C64185"/>
    <w:rsid w:val="00C67EA2"/>
    <w:rsid w:val="00C70CC0"/>
    <w:rsid w:val="00C76B7F"/>
    <w:rsid w:val="00C82080"/>
    <w:rsid w:val="00C824C6"/>
    <w:rsid w:val="00C82715"/>
    <w:rsid w:val="00C8289D"/>
    <w:rsid w:val="00C843A2"/>
    <w:rsid w:val="00C84687"/>
    <w:rsid w:val="00C84D41"/>
    <w:rsid w:val="00C8665E"/>
    <w:rsid w:val="00C90040"/>
    <w:rsid w:val="00C93623"/>
    <w:rsid w:val="00C97AE3"/>
    <w:rsid w:val="00CA046D"/>
    <w:rsid w:val="00CA098D"/>
    <w:rsid w:val="00CA14CD"/>
    <w:rsid w:val="00CA17C9"/>
    <w:rsid w:val="00CA486A"/>
    <w:rsid w:val="00CA58FA"/>
    <w:rsid w:val="00CA63DF"/>
    <w:rsid w:val="00CA6949"/>
    <w:rsid w:val="00CA7D5C"/>
    <w:rsid w:val="00CA7F52"/>
    <w:rsid w:val="00CB008D"/>
    <w:rsid w:val="00CB2592"/>
    <w:rsid w:val="00CB47C6"/>
    <w:rsid w:val="00CB5610"/>
    <w:rsid w:val="00CB6DE7"/>
    <w:rsid w:val="00CB6DEB"/>
    <w:rsid w:val="00CB7B14"/>
    <w:rsid w:val="00CC0F4E"/>
    <w:rsid w:val="00CC1E17"/>
    <w:rsid w:val="00CC3F61"/>
    <w:rsid w:val="00CC4123"/>
    <w:rsid w:val="00CC6332"/>
    <w:rsid w:val="00CD0799"/>
    <w:rsid w:val="00CD76D4"/>
    <w:rsid w:val="00CE2858"/>
    <w:rsid w:val="00CE2895"/>
    <w:rsid w:val="00CE312F"/>
    <w:rsid w:val="00CE385B"/>
    <w:rsid w:val="00CE3AED"/>
    <w:rsid w:val="00CE4D23"/>
    <w:rsid w:val="00CE7290"/>
    <w:rsid w:val="00CE7AAB"/>
    <w:rsid w:val="00CF04B8"/>
    <w:rsid w:val="00CF190E"/>
    <w:rsid w:val="00CF42C1"/>
    <w:rsid w:val="00CF5CD8"/>
    <w:rsid w:val="00CF7FC1"/>
    <w:rsid w:val="00D00AE6"/>
    <w:rsid w:val="00D01E16"/>
    <w:rsid w:val="00D03CE7"/>
    <w:rsid w:val="00D07361"/>
    <w:rsid w:val="00D14CF6"/>
    <w:rsid w:val="00D14E6B"/>
    <w:rsid w:val="00D14E6D"/>
    <w:rsid w:val="00D165E3"/>
    <w:rsid w:val="00D173E5"/>
    <w:rsid w:val="00D1791A"/>
    <w:rsid w:val="00D17CF8"/>
    <w:rsid w:val="00D20C08"/>
    <w:rsid w:val="00D21885"/>
    <w:rsid w:val="00D21DD3"/>
    <w:rsid w:val="00D22702"/>
    <w:rsid w:val="00D24974"/>
    <w:rsid w:val="00D24C11"/>
    <w:rsid w:val="00D254D4"/>
    <w:rsid w:val="00D2644A"/>
    <w:rsid w:val="00D26807"/>
    <w:rsid w:val="00D3052F"/>
    <w:rsid w:val="00D30A87"/>
    <w:rsid w:val="00D371BF"/>
    <w:rsid w:val="00D37914"/>
    <w:rsid w:val="00D408F6"/>
    <w:rsid w:val="00D42E15"/>
    <w:rsid w:val="00D432BF"/>
    <w:rsid w:val="00D45278"/>
    <w:rsid w:val="00D45803"/>
    <w:rsid w:val="00D46C4A"/>
    <w:rsid w:val="00D46FDA"/>
    <w:rsid w:val="00D4705C"/>
    <w:rsid w:val="00D5098F"/>
    <w:rsid w:val="00D52D96"/>
    <w:rsid w:val="00D54F1A"/>
    <w:rsid w:val="00D55A40"/>
    <w:rsid w:val="00D561B0"/>
    <w:rsid w:val="00D573A9"/>
    <w:rsid w:val="00D7264F"/>
    <w:rsid w:val="00D74E96"/>
    <w:rsid w:val="00D77132"/>
    <w:rsid w:val="00D80DC7"/>
    <w:rsid w:val="00D83B38"/>
    <w:rsid w:val="00D83F77"/>
    <w:rsid w:val="00D908E2"/>
    <w:rsid w:val="00D942C8"/>
    <w:rsid w:val="00D95004"/>
    <w:rsid w:val="00D96496"/>
    <w:rsid w:val="00DA6CFD"/>
    <w:rsid w:val="00DA6D40"/>
    <w:rsid w:val="00DB1A54"/>
    <w:rsid w:val="00DC4480"/>
    <w:rsid w:val="00DC44D3"/>
    <w:rsid w:val="00DC6FA8"/>
    <w:rsid w:val="00DC72CD"/>
    <w:rsid w:val="00DC7484"/>
    <w:rsid w:val="00DC748D"/>
    <w:rsid w:val="00DC7630"/>
    <w:rsid w:val="00DD09B5"/>
    <w:rsid w:val="00DD2495"/>
    <w:rsid w:val="00DD3634"/>
    <w:rsid w:val="00DD64D4"/>
    <w:rsid w:val="00DD7A42"/>
    <w:rsid w:val="00DE4652"/>
    <w:rsid w:val="00DE5D13"/>
    <w:rsid w:val="00DE5FE6"/>
    <w:rsid w:val="00DE6696"/>
    <w:rsid w:val="00DE7AA5"/>
    <w:rsid w:val="00DF0D88"/>
    <w:rsid w:val="00DF3128"/>
    <w:rsid w:val="00DF330C"/>
    <w:rsid w:val="00DF6B9C"/>
    <w:rsid w:val="00E00854"/>
    <w:rsid w:val="00E01752"/>
    <w:rsid w:val="00E055C8"/>
    <w:rsid w:val="00E107FD"/>
    <w:rsid w:val="00E11C47"/>
    <w:rsid w:val="00E11EB6"/>
    <w:rsid w:val="00E129F3"/>
    <w:rsid w:val="00E13EF3"/>
    <w:rsid w:val="00E1442E"/>
    <w:rsid w:val="00E149A9"/>
    <w:rsid w:val="00E1707D"/>
    <w:rsid w:val="00E21B3D"/>
    <w:rsid w:val="00E21BBB"/>
    <w:rsid w:val="00E225BC"/>
    <w:rsid w:val="00E22751"/>
    <w:rsid w:val="00E22D14"/>
    <w:rsid w:val="00E239BD"/>
    <w:rsid w:val="00E25680"/>
    <w:rsid w:val="00E26974"/>
    <w:rsid w:val="00E26E58"/>
    <w:rsid w:val="00E33964"/>
    <w:rsid w:val="00E339E0"/>
    <w:rsid w:val="00E36AD0"/>
    <w:rsid w:val="00E36B2A"/>
    <w:rsid w:val="00E36D0F"/>
    <w:rsid w:val="00E41FB4"/>
    <w:rsid w:val="00E43457"/>
    <w:rsid w:val="00E439FA"/>
    <w:rsid w:val="00E478C2"/>
    <w:rsid w:val="00E47CBC"/>
    <w:rsid w:val="00E50ACA"/>
    <w:rsid w:val="00E54F11"/>
    <w:rsid w:val="00E575B7"/>
    <w:rsid w:val="00E60E3A"/>
    <w:rsid w:val="00E60EC4"/>
    <w:rsid w:val="00E60F28"/>
    <w:rsid w:val="00E61F2E"/>
    <w:rsid w:val="00E621D8"/>
    <w:rsid w:val="00E623A7"/>
    <w:rsid w:val="00E633DD"/>
    <w:rsid w:val="00E649DD"/>
    <w:rsid w:val="00E65135"/>
    <w:rsid w:val="00E7362D"/>
    <w:rsid w:val="00E74273"/>
    <w:rsid w:val="00E8038D"/>
    <w:rsid w:val="00E82D1D"/>
    <w:rsid w:val="00E83484"/>
    <w:rsid w:val="00E835E6"/>
    <w:rsid w:val="00E83D65"/>
    <w:rsid w:val="00E86FF7"/>
    <w:rsid w:val="00E90762"/>
    <w:rsid w:val="00E91BD4"/>
    <w:rsid w:val="00E92AFA"/>
    <w:rsid w:val="00E9479A"/>
    <w:rsid w:val="00E957BF"/>
    <w:rsid w:val="00E9693A"/>
    <w:rsid w:val="00EA125D"/>
    <w:rsid w:val="00EA23B1"/>
    <w:rsid w:val="00EA340C"/>
    <w:rsid w:val="00EA48F6"/>
    <w:rsid w:val="00EA505B"/>
    <w:rsid w:val="00EB2F0C"/>
    <w:rsid w:val="00EB2F26"/>
    <w:rsid w:val="00EB5698"/>
    <w:rsid w:val="00EB5E7F"/>
    <w:rsid w:val="00EB6B73"/>
    <w:rsid w:val="00EB751F"/>
    <w:rsid w:val="00EC0C9C"/>
    <w:rsid w:val="00EC3ABD"/>
    <w:rsid w:val="00EC5413"/>
    <w:rsid w:val="00EC700E"/>
    <w:rsid w:val="00EC734B"/>
    <w:rsid w:val="00ED008C"/>
    <w:rsid w:val="00ED0122"/>
    <w:rsid w:val="00ED2480"/>
    <w:rsid w:val="00ED3211"/>
    <w:rsid w:val="00ED6D0A"/>
    <w:rsid w:val="00ED70CF"/>
    <w:rsid w:val="00ED7218"/>
    <w:rsid w:val="00EE25D3"/>
    <w:rsid w:val="00EE3654"/>
    <w:rsid w:val="00EE4925"/>
    <w:rsid w:val="00EE5E06"/>
    <w:rsid w:val="00EE6C43"/>
    <w:rsid w:val="00EE7F94"/>
    <w:rsid w:val="00EF1207"/>
    <w:rsid w:val="00EF1626"/>
    <w:rsid w:val="00EF5A1E"/>
    <w:rsid w:val="00F00F04"/>
    <w:rsid w:val="00F01D87"/>
    <w:rsid w:val="00F03C14"/>
    <w:rsid w:val="00F03F3E"/>
    <w:rsid w:val="00F10016"/>
    <w:rsid w:val="00F10FA6"/>
    <w:rsid w:val="00F113F2"/>
    <w:rsid w:val="00F116A5"/>
    <w:rsid w:val="00F11FB7"/>
    <w:rsid w:val="00F13196"/>
    <w:rsid w:val="00F139A7"/>
    <w:rsid w:val="00F14632"/>
    <w:rsid w:val="00F157DD"/>
    <w:rsid w:val="00F16764"/>
    <w:rsid w:val="00F172FF"/>
    <w:rsid w:val="00F17C4D"/>
    <w:rsid w:val="00F20A55"/>
    <w:rsid w:val="00F21F42"/>
    <w:rsid w:val="00F22231"/>
    <w:rsid w:val="00F2236B"/>
    <w:rsid w:val="00F237B2"/>
    <w:rsid w:val="00F23F48"/>
    <w:rsid w:val="00F24808"/>
    <w:rsid w:val="00F26170"/>
    <w:rsid w:val="00F26716"/>
    <w:rsid w:val="00F30E5E"/>
    <w:rsid w:val="00F3161B"/>
    <w:rsid w:val="00F37884"/>
    <w:rsid w:val="00F40662"/>
    <w:rsid w:val="00F411B5"/>
    <w:rsid w:val="00F4198A"/>
    <w:rsid w:val="00F42754"/>
    <w:rsid w:val="00F42E61"/>
    <w:rsid w:val="00F42EEE"/>
    <w:rsid w:val="00F43C1A"/>
    <w:rsid w:val="00F50EF4"/>
    <w:rsid w:val="00F530FE"/>
    <w:rsid w:val="00F539A6"/>
    <w:rsid w:val="00F5579D"/>
    <w:rsid w:val="00F569F5"/>
    <w:rsid w:val="00F57120"/>
    <w:rsid w:val="00F57763"/>
    <w:rsid w:val="00F5785D"/>
    <w:rsid w:val="00F635A1"/>
    <w:rsid w:val="00F71457"/>
    <w:rsid w:val="00F75A29"/>
    <w:rsid w:val="00F75E99"/>
    <w:rsid w:val="00F80CDC"/>
    <w:rsid w:val="00F81141"/>
    <w:rsid w:val="00F86841"/>
    <w:rsid w:val="00F94C2E"/>
    <w:rsid w:val="00F97992"/>
    <w:rsid w:val="00FA0797"/>
    <w:rsid w:val="00FA0951"/>
    <w:rsid w:val="00FA3D1E"/>
    <w:rsid w:val="00FB067D"/>
    <w:rsid w:val="00FB1D79"/>
    <w:rsid w:val="00FB2597"/>
    <w:rsid w:val="00FB4201"/>
    <w:rsid w:val="00FB4643"/>
    <w:rsid w:val="00FB5498"/>
    <w:rsid w:val="00FB57DE"/>
    <w:rsid w:val="00FB5BB6"/>
    <w:rsid w:val="00FB7BDC"/>
    <w:rsid w:val="00FC3F96"/>
    <w:rsid w:val="00FC41DE"/>
    <w:rsid w:val="00FC451E"/>
    <w:rsid w:val="00FD0B73"/>
    <w:rsid w:val="00FD2512"/>
    <w:rsid w:val="00FD38A2"/>
    <w:rsid w:val="00FD463B"/>
    <w:rsid w:val="00FD68C7"/>
    <w:rsid w:val="00FD760B"/>
    <w:rsid w:val="00FE0698"/>
    <w:rsid w:val="00FE33CF"/>
    <w:rsid w:val="00FE3B11"/>
    <w:rsid w:val="00FE52C1"/>
    <w:rsid w:val="00FE64B2"/>
    <w:rsid w:val="00FE6DFD"/>
    <w:rsid w:val="00FF09C5"/>
    <w:rsid w:val="00FF2801"/>
    <w:rsid w:val="00FF3FC6"/>
    <w:rsid w:val="00FF4424"/>
    <w:rsid w:val="00FF5287"/>
    <w:rsid w:val="00FF62B5"/>
    <w:rsid w:val="0C93384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7"/>
    <w:qFormat/>
    <w:uiPriority w:val="9"/>
    <w:pPr>
      <w:pageBreakBefore/>
      <w:widowControl/>
      <w:jc w:val="left"/>
      <w:outlineLvl w:val="0"/>
    </w:pPr>
    <w:rPr>
      <w:rFonts w:ascii="宋体" w:hAnsi="宋体" w:eastAsia="黑体" w:cs="宋体"/>
      <w:bCs/>
      <w:kern w:val="44"/>
      <w:sz w:val="28"/>
      <w:szCs w:val="44"/>
    </w:rPr>
  </w:style>
  <w:style w:type="paragraph" w:styleId="3">
    <w:name w:val="heading 2"/>
    <w:basedOn w:val="1"/>
    <w:next w:val="1"/>
    <w:link w:val="34"/>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5"/>
    <w:qFormat/>
    <w:uiPriority w:val="9"/>
    <w:pPr>
      <w:keepNext/>
      <w:keepLines/>
      <w:spacing w:before="260" w:after="260" w:line="416" w:lineRule="auto"/>
      <w:jc w:val="center"/>
      <w:outlineLvl w:val="2"/>
    </w:pPr>
    <w:rPr>
      <w:rFonts w:ascii="宋体" w:hAnsi="Times New Roman" w:eastAsia="宋体" w:cs="Times New Roman"/>
      <w:b/>
      <w:bCs/>
      <w:sz w:val="32"/>
      <w:szCs w:val="32"/>
    </w:rPr>
  </w:style>
  <w:style w:type="paragraph" w:styleId="5">
    <w:name w:val="heading 4"/>
    <w:basedOn w:val="1"/>
    <w:next w:val="1"/>
    <w:link w:val="31"/>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8">
    <w:name w:val="Default Paragraph Font"/>
    <w:semiHidden/>
    <w:unhideWhenUsed/>
    <w:qFormat/>
    <w:uiPriority w:val="1"/>
  </w:style>
  <w:style w:type="table" w:default="1" w:styleId="16">
    <w:name w:val="Normal Table"/>
    <w:semiHidden/>
    <w:unhideWhenUsed/>
    <w:qFormat/>
    <w:uiPriority w:val="99"/>
    <w:tblPr>
      <w:tblLayout w:type="fixed"/>
      <w:tblCellMar>
        <w:top w:w="0" w:type="dxa"/>
        <w:left w:w="108" w:type="dxa"/>
        <w:bottom w:w="0" w:type="dxa"/>
        <w:right w:w="108" w:type="dxa"/>
      </w:tblCellMar>
    </w:tblPr>
  </w:style>
  <w:style w:type="paragraph" w:styleId="6">
    <w:name w:val="Document Map"/>
    <w:basedOn w:val="1"/>
    <w:link w:val="85"/>
    <w:semiHidden/>
    <w:unhideWhenUsed/>
    <w:uiPriority w:val="99"/>
    <w:rPr>
      <w:rFonts w:ascii="宋体" w:eastAsia="宋体"/>
      <w:sz w:val="18"/>
      <w:szCs w:val="18"/>
    </w:rPr>
  </w:style>
  <w:style w:type="paragraph" w:styleId="7">
    <w:name w:val="annotation text"/>
    <w:basedOn w:val="1"/>
    <w:link w:val="81"/>
    <w:semiHidden/>
    <w:unhideWhenUsed/>
    <w:uiPriority w:val="99"/>
    <w:pPr>
      <w:jc w:val="left"/>
    </w:pPr>
  </w:style>
  <w:style w:type="paragraph" w:styleId="8">
    <w:name w:val="toc 3"/>
    <w:basedOn w:val="1"/>
    <w:next w:val="1"/>
    <w:unhideWhenUsed/>
    <w:qFormat/>
    <w:uiPriority w:val="39"/>
    <w:pPr>
      <w:ind w:left="840" w:leftChars="400"/>
    </w:pPr>
    <w:rPr>
      <w:sz w:val="28"/>
    </w:rPr>
  </w:style>
  <w:style w:type="paragraph" w:styleId="9">
    <w:name w:val="Balloon Text"/>
    <w:basedOn w:val="1"/>
    <w:link w:val="83"/>
    <w:semiHidden/>
    <w:unhideWhenUsed/>
    <w:uiPriority w:val="99"/>
    <w:rPr>
      <w:sz w:val="18"/>
      <w:szCs w:val="18"/>
    </w:rPr>
  </w:style>
  <w:style w:type="paragraph" w:styleId="10">
    <w:name w:val="footer"/>
    <w:basedOn w:val="1"/>
    <w:link w:val="23"/>
    <w:unhideWhenUsed/>
    <w:qFormat/>
    <w:uiPriority w:val="99"/>
    <w:pPr>
      <w:tabs>
        <w:tab w:val="center" w:pos="4153"/>
        <w:tab w:val="right" w:pos="8306"/>
      </w:tabs>
      <w:snapToGrid w:val="0"/>
      <w:jc w:val="left"/>
    </w:pPr>
    <w:rPr>
      <w:sz w:val="18"/>
      <w:szCs w:val="18"/>
    </w:rPr>
  </w:style>
  <w:style w:type="paragraph" w:styleId="11">
    <w:name w:val="header"/>
    <w:basedOn w:val="1"/>
    <w:link w:val="22"/>
    <w:unhideWhenUsed/>
    <w:qFormat/>
    <w:uiPriority w:val="99"/>
    <w:pPr>
      <w:pBdr>
        <w:bottom w:val="single" w:color="auto" w:sz="6" w:space="1"/>
      </w:pBdr>
      <w:tabs>
        <w:tab w:val="center" w:pos="4153"/>
        <w:tab w:val="right" w:pos="8306"/>
      </w:tabs>
      <w:snapToGrid w:val="0"/>
      <w:jc w:val="center"/>
    </w:pPr>
    <w:rPr>
      <w:sz w:val="18"/>
      <w:szCs w:val="18"/>
    </w:rPr>
  </w:style>
  <w:style w:type="paragraph" w:styleId="12">
    <w:name w:val="toc 1"/>
    <w:basedOn w:val="1"/>
    <w:next w:val="1"/>
    <w:unhideWhenUsed/>
    <w:qFormat/>
    <w:uiPriority w:val="39"/>
    <w:rPr>
      <w:sz w:val="28"/>
    </w:rPr>
  </w:style>
  <w:style w:type="paragraph" w:styleId="13">
    <w:name w:val="toc 2"/>
    <w:basedOn w:val="1"/>
    <w:next w:val="1"/>
    <w:unhideWhenUsed/>
    <w:qFormat/>
    <w:uiPriority w:val="39"/>
    <w:pPr>
      <w:tabs>
        <w:tab w:val="right" w:leader="dot" w:pos="8296"/>
      </w:tabs>
      <w:ind w:left="410" w:leftChars="200"/>
    </w:pPr>
    <w:rPr>
      <w:rFonts w:ascii="黑体" w:hAnsi="Times New Roman" w:cs="Times New Roman"/>
      <w:sz w:val="28"/>
      <w:szCs w:val="28"/>
    </w:rPr>
  </w:style>
  <w:style w:type="paragraph" w:styleId="14">
    <w:name w:val="Normal (Web)"/>
    <w:basedOn w:val="1"/>
    <w:semiHidden/>
    <w:unhideWhenUsed/>
    <w:uiPriority w:val="99"/>
    <w:pPr>
      <w:widowControl/>
      <w:spacing w:before="100" w:beforeAutospacing="1" w:after="100" w:afterAutospacing="1"/>
      <w:jc w:val="left"/>
    </w:pPr>
    <w:rPr>
      <w:rFonts w:ascii="宋体" w:hAnsi="宋体" w:eastAsia="宋体" w:cs="宋体"/>
      <w:kern w:val="0"/>
      <w:sz w:val="24"/>
      <w:szCs w:val="24"/>
    </w:rPr>
  </w:style>
  <w:style w:type="paragraph" w:styleId="15">
    <w:name w:val="annotation subject"/>
    <w:basedOn w:val="7"/>
    <w:next w:val="7"/>
    <w:link w:val="82"/>
    <w:semiHidden/>
    <w:unhideWhenUsed/>
    <w:uiPriority w:val="99"/>
    <w:rPr>
      <w:b/>
      <w:bCs/>
    </w:rPr>
  </w:style>
  <w:style w:type="table" w:styleId="17">
    <w:name w:val="Table Grid"/>
    <w:basedOn w:val="16"/>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9">
    <w:name w:val="FollowedHyperlink"/>
    <w:basedOn w:val="18"/>
    <w:semiHidden/>
    <w:unhideWhenUsed/>
    <w:qFormat/>
    <w:uiPriority w:val="99"/>
    <w:rPr>
      <w:color w:val="954F72"/>
      <w:u w:val="single"/>
    </w:rPr>
  </w:style>
  <w:style w:type="character" w:styleId="20">
    <w:name w:val="Hyperlink"/>
    <w:basedOn w:val="18"/>
    <w:unhideWhenUsed/>
    <w:qFormat/>
    <w:uiPriority w:val="99"/>
    <w:rPr>
      <w:color w:val="0563C1" w:themeColor="hyperlink"/>
      <w:u w:val="single"/>
      <w14:textFill>
        <w14:solidFill>
          <w14:schemeClr w14:val="hlink"/>
        </w14:solidFill>
      </w14:textFill>
    </w:rPr>
  </w:style>
  <w:style w:type="character" w:styleId="21">
    <w:name w:val="annotation reference"/>
    <w:basedOn w:val="18"/>
    <w:semiHidden/>
    <w:unhideWhenUsed/>
    <w:uiPriority w:val="99"/>
    <w:rPr>
      <w:sz w:val="21"/>
      <w:szCs w:val="21"/>
    </w:rPr>
  </w:style>
  <w:style w:type="character" w:customStyle="1" w:styleId="22">
    <w:name w:val="页眉 字符"/>
    <w:basedOn w:val="18"/>
    <w:link w:val="11"/>
    <w:qFormat/>
    <w:uiPriority w:val="99"/>
    <w:rPr>
      <w:sz w:val="18"/>
      <w:szCs w:val="18"/>
    </w:rPr>
  </w:style>
  <w:style w:type="character" w:customStyle="1" w:styleId="23">
    <w:name w:val="页脚 字符"/>
    <w:basedOn w:val="18"/>
    <w:link w:val="10"/>
    <w:qFormat/>
    <w:uiPriority w:val="99"/>
    <w:rPr>
      <w:sz w:val="18"/>
      <w:szCs w:val="18"/>
    </w:rPr>
  </w:style>
  <w:style w:type="paragraph" w:styleId="24">
    <w:name w:val="List Paragraph"/>
    <w:basedOn w:val="1"/>
    <w:link w:val="86"/>
    <w:qFormat/>
    <w:uiPriority w:val="34"/>
    <w:pPr>
      <w:ind w:firstLine="420" w:firstLineChars="200"/>
    </w:pPr>
  </w:style>
  <w:style w:type="character" w:customStyle="1" w:styleId="25">
    <w:name w:val="标题 3 字符"/>
    <w:basedOn w:val="18"/>
    <w:link w:val="4"/>
    <w:qFormat/>
    <w:uiPriority w:val="9"/>
    <w:rPr>
      <w:rFonts w:ascii="宋体" w:hAnsi="Times New Roman" w:eastAsia="宋体" w:cs="Times New Roman"/>
      <w:b/>
      <w:bCs/>
      <w:sz w:val="32"/>
      <w:szCs w:val="32"/>
    </w:rPr>
  </w:style>
  <w:style w:type="paragraph" w:customStyle="1" w:styleId="26">
    <w:name w:val="Default"/>
    <w:qFormat/>
    <w:uiPriority w:val="0"/>
    <w:pPr>
      <w:widowControl w:val="0"/>
      <w:autoSpaceDE w:val="0"/>
      <w:autoSpaceDN w:val="0"/>
      <w:adjustRightInd w:val="0"/>
    </w:pPr>
    <w:rPr>
      <w:rFonts w:ascii="宋体" w:eastAsia="宋体" w:cs="宋体" w:hAnsiTheme="minorHAnsi"/>
      <w:color w:val="000000"/>
      <w:kern w:val="0"/>
      <w:sz w:val="24"/>
      <w:szCs w:val="24"/>
      <w:lang w:val="en-US" w:eastAsia="zh-CN" w:bidi="ar-SA"/>
    </w:rPr>
  </w:style>
  <w:style w:type="character" w:customStyle="1" w:styleId="27">
    <w:name w:val="标题 1 字符"/>
    <w:basedOn w:val="18"/>
    <w:link w:val="2"/>
    <w:qFormat/>
    <w:uiPriority w:val="9"/>
    <w:rPr>
      <w:rFonts w:ascii="宋体" w:hAnsi="宋体" w:eastAsia="黑体" w:cs="宋体"/>
      <w:bCs/>
      <w:kern w:val="44"/>
      <w:sz w:val="28"/>
      <w:szCs w:val="44"/>
    </w:rPr>
  </w:style>
  <w:style w:type="paragraph" w:customStyle="1" w:styleId="28">
    <w:name w:val="无间隔71"/>
    <w:qFormat/>
    <w:uiPriority w:val="1"/>
    <w:pPr>
      <w:spacing w:before="260" w:after="260" w:line="360" w:lineRule="auto"/>
      <w:jc w:val="both"/>
    </w:pPr>
    <w:rPr>
      <w:rFonts w:ascii="宋体" w:hAnsi="Arial" w:eastAsia="宋体" w:cs="Times New Roman"/>
      <w:kern w:val="0"/>
      <w:sz w:val="24"/>
      <w:szCs w:val="21"/>
      <w:lang w:val="en-US" w:eastAsia="zh-CN" w:bidi="ar-SA"/>
    </w:rPr>
  </w:style>
  <w:style w:type="paragraph" w:customStyle="1" w:styleId="29">
    <w:name w:val="AAA"/>
    <w:basedOn w:val="1"/>
    <w:link w:val="30"/>
    <w:qFormat/>
    <w:locked/>
    <w:uiPriority w:val="0"/>
    <w:pPr>
      <w:spacing w:line="360" w:lineRule="auto"/>
      <w:ind w:firstLine="200" w:firstLineChars="200"/>
    </w:pPr>
    <w:rPr>
      <w:rFonts w:ascii="宋体" w:hAnsi="宋体" w:eastAsia="宋体" w:cs="Times New Roman"/>
      <w:sz w:val="28"/>
      <w:szCs w:val="24"/>
    </w:rPr>
  </w:style>
  <w:style w:type="character" w:customStyle="1" w:styleId="30">
    <w:name w:val="AAA Char"/>
    <w:link w:val="29"/>
    <w:qFormat/>
    <w:uiPriority w:val="0"/>
    <w:rPr>
      <w:rFonts w:ascii="宋体" w:hAnsi="宋体" w:eastAsia="宋体" w:cs="Times New Roman"/>
      <w:sz w:val="28"/>
      <w:szCs w:val="24"/>
    </w:rPr>
  </w:style>
  <w:style w:type="character" w:customStyle="1" w:styleId="31">
    <w:name w:val="标题 4 字符"/>
    <w:basedOn w:val="18"/>
    <w:link w:val="5"/>
    <w:qFormat/>
    <w:uiPriority w:val="9"/>
    <w:rPr>
      <w:rFonts w:asciiTheme="majorHAnsi" w:hAnsiTheme="majorHAnsi" w:eastAsiaTheme="majorEastAsia" w:cstheme="majorBidi"/>
      <w:b/>
      <w:bCs/>
      <w:sz w:val="28"/>
      <w:szCs w:val="28"/>
    </w:rPr>
  </w:style>
  <w:style w:type="paragraph" w:customStyle="1" w:styleId="32">
    <w:name w:val="*正文"/>
    <w:basedOn w:val="1"/>
    <w:link w:val="33"/>
    <w:qFormat/>
    <w:locked/>
    <w:uiPriority w:val="0"/>
    <w:pPr>
      <w:spacing w:line="360" w:lineRule="auto"/>
      <w:ind w:firstLine="200" w:firstLineChars="200"/>
    </w:pPr>
    <w:rPr>
      <w:rFonts w:ascii="宋体" w:hAnsi="宋体" w:eastAsia="宋体" w:cs="Times New Roman"/>
      <w:szCs w:val="24"/>
    </w:rPr>
  </w:style>
  <w:style w:type="character" w:customStyle="1" w:styleId="33">
    <w:name w:val="*正文 Char"/>
    <w:link w:val="32"/>
    <w:qFormat/>
    <w:uiPriority w:val="0"/>
    <w:rPr>
      <w:rFonts w:ascii="宋体" w:hAnsi="宋体" w:eastAsia="宋体" w:cs="Times New Roman"/>
      <w:szCs w:val="24"/>
    </w:rPr>
  </w:style>
  <w:style w:type="character" w:customStyle="1" w:styleId="34">
    <w:name w:val="标题 2 字符"/>
    <w:basedOn w:val="18"/>
    <w:link w:val="3"/>
    <w:qFormat/>
    <w:uiPriority w:val="9"/>
    <w:rPr>
      <w:rFonts w:asciiTheme="majorHAnsi" w:hAnsiTheme="majorHAnsi" w:eastAsiaTheme="majorEastAsia" w:cstheme="majorBidi"/>
      <w:b/>
      <w:bCs/>
      <w:sz w:val="32"/>
      <w:szCs w:val="32"/>
    </w:rPr>
  </w:style>
  <w:style w:type="paragraph" w:customStyle="1" w:styleId="35">
    <w:name w:val="msonormal"/>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36">
    <w:name w:val="font5"/>
    <w:basedOn w:val="1"/>
    <w:qFormat/>
    <w:uiPriority w:val="0"/>
    <w:pPr>
      <w:widowControl/>
      <w:spacing w:before="100" w:beforeAutospacing="1" w:after="100" w:afterAutospacing="1"/>
      <w:jc w:val="left"/>
    </w:pPr>
    <w:rPr>
      <w:rFonts w:ascii="宋体" w:hAnsi="宋体" w:eastAsia="宋体" w:cs="宋体"/>
      <w:b/>
      <w:bCs/>
      <w:color w:val="000000"/>
      <w:kern w:val="0"/>
      <w:sz w:val="20"/>
      <w:szCs w:val="20"/>
    </w:rPr>
  </w:style>
  <w:style w:type="paragraph" w:customStyle="1" w:styleId="37">
    <w:name w:val="font6"/>
    <w:basedOn w:val="1"/>
    <w:qFormat/>
    <w:uiPriority w:val="0"/>
    <w:pPr>
      <w:widowControl/>
      <w:spacing w:before="100" w:beforeAutospacing="1" w:after="100" w:afterAutospacing="1"/>
      <w:jc w:val="left"/>
    </w:pPr>
    <w:rPr>
      <w:rFonts w:ascii="等线" w:hAnsi="等线" w:eastAsia="等线" w:cs="宋体"/>
      <w:kern w:val="0"/>
      <w:sz w:val="18"/>
      <w:szCs w:val="18"/>
    </w:rPr>
  </w:style>
  <w:style w:type="paragraph" w:customStyle="1" w:styleId="38">
    <w:name w:val="font7"/>
    <w:basedOn w:val="1"/>
    <w:qFormat/>
    <w:uiPriority w:val="0"/>
    <w:pPr>
      <w:widowControl/>
      <w:spacing w:before="100" w:beforeAutospacing="1" w:after="100" w:afterAutospacing="1"/>
      <w:jc w:val="left"/>
    </w:pPr>
    <w:rPr>
      <w:rFonts w:ascii="宋体" w:hAnsi="宋体" w:eastAsia="宋体" w:cs="宋体"/>
      <w:b/>
      <w:bCs/>
      <w:color w:val="000000"/>
      <w:kern w:val="0"/>
      <w:sz w:val="20"/>
      <w:szCs w:val="20"/>
    </w:rPr>
  </w:style>
  <w:style w:type="paragraph" w:customStyle="1" w:styleId="39">
    <w:name w:val="font8"/>
    <w:basedOn w:val="1"/>
    <w:qFormat/>
    <w:uiPriority w:val="0"/>
    <w:pPr>
      <w:widowControl/>
      <w:spacing w:before="100" w:beforeAutospacing="1" w:after="100" w:afterAutospacing="1"/>
      <w:jc w:val="left"/>
    </w:pPr>
    <w:rPr>
      <w:rFonts w:ascii="宋体" w:hAnsi="宋体" w:eastAsia="宋体" w:cs="宋体"/>
      <w:b/>
      <w:bCs/>
      <w:color w:val="000000"/>
      <w:kern w:val="0"/>
      <w:sz w:val="20"/>
      <w:szCs w:val="20"/>
    </w:rPr>
  </w:style>
  <w:style w:type="paragraph" w:customStyle="1" w:styleId="40">
    <w:name w:val="font9"/>
    <w:basedOn w:val="1"/>
    <w:qFormat/>
    <w:uiPriority w:val="0"/>
    <w:pPr>
      <w:widowControl/>
      <w:spacing w:before="100" w:beforeAutospacing="1" w:after="100" w:afterAutospacing="1"/>
      <w:jc w:val="left"/>
    </w:pPr>
    <w:rPr>
      <w:rFonts w:ascii="Times New Roman" w:hAnsi="Times New Roman" w:eastAsia="宋体" w:cs="Times New Roman"/>
      <w:color w:val="000000"/>
      <w:kern w:val="0"/>
      <w:sz w:val="20"/>
      <w:szCs w:val="20"/>
    </w:rPr>
  </w:style>
  <w:style w:type="paragraph" w:customStyle="1" w:styleId="41">
    <w:name w:val="font10"/>
    <w:basedOn w:val="1"/>
    <w:uiPriority w:val="0"/>
    <w:pPr>
      <w:widowControl/>
      <w:spacing w:before="100" w:beforeAutospacing="1" w:after="100" w:afterAutospacing="1"/>
      <w:jc w:val="left"/>
    </w:pPr>
    <w:rPr>
      <w:rFonts w:ascii="宋体" w:hAnsi="宋体" w:eastAsia="宋体" w:cs="宋体"/>
      <w:color w:val="000000"/>
      <w:kern w:val="0"/>
      <w:sz w:val="20"/>
      <w:szCs w:val="20"/>
    </w:rPr>
  </w:style>
  <w:style w:type="paragraph" w:customStyle="1" w:styleId="42">
    <w:name w:val="font11"/>
    <w:basedOn w:val="1"/>
    <w:qFormat/>
    <w:uiPriority w:val="0"/>
    <w:pPr>
      <w:widowControl/>
      <w:spacing w:before="100" w:beforeAutospacing="1" w:after="100" w:afterAutospacing="1"/>
      <w:jc w:val="left"/>
    </w:pPr>
    <w:rPr>
      <w:rFonts w:ascii="Times New Roman" w:hAnsi="Times New Roman" w:eastAsia="宋体" w:cs="Times New Roman"/>
      <w:kern w:val="0"/>
      <w:sz w:val="20"/>
      <w:szCs w:val="20"/>
    </w:rPr>
  </w:style>
  <w:style w:type="paragraph" w:customStyle="1" w:styleId="43">
    <w:name w:val="font12"/>
    <w:basedOn w:val="1"/>
    <w:qFormat/>
    <w:uiPriority w:val="0"/>
    <w:pPr>
      <w:widowControl/>
      <w:spacing w:before="100" w:beforeAutospacing="1" w:after="100" w:afterAutospacing="1"/>
      <w:jc w:val="left"/>
    </w:pPr>
    <w:rPr>
      <w:rFonts w:ascii="宋体" w:hAnsi="宋体" w:eastAsia="宋体" w:cs="宋体"/>
      <w:kern w:val="0"/>
      <w:sz w:val="20"/>
      <w:szCs w:val="20"/>
    </w:rPr>
  </w:style>
  <w:style w:type="paragraph" w:customStyle="1" w:styleId="44">
    <w:name w:val="font13"/>
    <w:basedOn w:val="1"/>
    <w:qFormat/>
    <w:uiPriority w:val="0"/>
    <w:pPr>
      <w:widowControl/>
      <w:spacing w:before="100" w:beforeAutospacing="1" w:after="100" w:afterAutospacing="1"/>
      <w:jc w:val="left"/>
    </w:pPr>
    <w:rPr>
      <w:rFonts w:ascii="Times New Roman" w:hAnsi="Times New Roman" w:eastAsia="宋体" w:cs="Times New Roman"/>
      <w:color w:val="000000"/>
      <w:kern w:val="0"/>
      <w:sz w:val="20"/>
      <w:szCs w:val="20"/>
    </w:rPr>
  </w:style>
  <w:style w:type="paragraph" w:customStyle="1" w:styleId="45">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eastAsia="宋体" w:cs="Times New Roman"/>
      <w:b/>
      <w:bCs/>
      <w:kern w:val="0"/>
      <w:sz w:val="20"/>
      <w:szCs w:val="20"/>
    </w:rPr>
  </w:style>
  <w:style w:type="paragraph" w:customStyle="1" w:styleId="46">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eastAsia="宋体" w:cs="Times New Roman"/>
      <w:b/>
      <w:bCs/>
      <w:color w:val="000000"/>
      <w:kern w:val="0"/>
      <w:sz w:val="20"/>
      <w:szCs w:val="20"/>
    </w:rPr>
  </w:style>
  <w:style w:type="paragraph" w:customStyle="1" w:styleId="47">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eastAsia="宋体" w:cs="Times New Roman"/>
      <w:b/>
      <w:bCs/>
      <w:color w:val="000000"/>
      <w:kern w:val="0"/>
      <w:sz w:val="20"/>
      <w:szCs w:val="20"/>
    </w:rPr>
  </w:style>
  <w:style w:type="paragraph" w:customStyle="1" w:styleId="48">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eastAsia="宋体" w:cs="Times New Roman"/>
      <w:b/>
      <w:bCs/>
      <w:color w:val="000000"/>
      <w:kern w:val="0"/>
      <w:sz w:val="20"/>
      <w:szCs w:val="20"/>
    </w:rPr>
  </w:style>
  <w:style w:type="paragraph" w:customStyle="1" w:styleId="49">
    <w:name w:val="xl73"/>
    <w:basedOn w:val="1"/>
    <w:qFormat/>
    <w:uiPriority w:val="0"/>
    <w:pPr>
      <w:widowControl/>
      <w:spacing w:before="100" w:beforeAutospacing="1" w:after="100" w:afterAutospacing="1"/>
      <w:jc w:val="center"/>
      <w:textAlignment w:val="center"/>
    </w:pPr>
    <w:rPr>
      <w:rFonts w:ascii="宋体" w:hAnsi="宋体" w:eastAsia="宋体" w:cs="宋体"/>
      <w:kern w:val="0"/>
      <w:sz w:val="20"/>
      <w:szCs w:val="20"/>
    </w:rPr>
  </w:style>
  <w:style w:type="paragraph" w:customStyle="1" w:styleId="50">
    <w:name w:val="xl74"/>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eastAsia="宋体" w:cs="Times New Roman"/>
      <w:kern w:val="0"/>
      <w:sz w:val="20"/>
      <w:szCs w:val="20"/>
    </w:rPr>
  </w:style>
  <w:style w:type="paragraph" w:customStyle="1" w:styleId="51">
    <w:name w:val="xl75"/>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eastAsia="宋体" w:cs="Times New Roman"/>
      <w:kern w:val="0"/>
      <w:sz w:val="20"/>
      <w:szCs w:val="20"/>
    </w:rPr>
  </w:style>
  <w:style w:type="paragraph" w:customStyle="1" w:styleId="52">
    <w:name w:val="xl76"/>
    <w:basedOn w:val="1"/>
    <w:uiPriority w:val="0"/>
    <w:pPr>
      <w:widowControl/>
      <w:spacing w:before="100" w:beforeAutospacing="1" w:after="100" w:afterAutospacing="1"/>
      <w:jc w:val="center"/>
      <w:textAlignment w:val="top"/>
    </w:pPr>
    <w:rPr>
      <w:rFonts w:ascii="宋体" w:hAnsi="宋体" w:eastAsia="宋体" w:cs="宋体"/>
      <w:kern w:val="0"/>
      <w:sz w:val="20"/>
      <w:szCs w:val="20"/>
    </w:rPr>
  </w:style>
  <w:style w:type="paragraph" w:customStyle="1" w:styleId="53">
    <w:name w:val="xl77"/>
    <w:basedOn w:val="1"/>
    <w:uiPriority w:val="0"/>
    <w:pPr>
      <w:widowControl/>
      <w:spacing w:before="100" w:beforeAutospacing="1" w:after="100" w:afterAutospacing="1"/>
      <w:jc w:val="center"/>
      <w:textAlignment w:val="center"/>
    </w:pPr>
    <w:rPr>
      <w:rFonts w:ascii="宋体" w:hAnsi="宋体" w:eastAsia="宋体" w:cs="宋体"/>
      <w:kern w:val="0"/>
      <w:sz w:val="20"/>
      <w:szCs w:val="20"/>
    </w:rPr>
  </w:style>
  <w:style w:type="paragraph" w:customStyle="1" w:styleId="54">
    <w:name w:val="xl78"/>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cs="宋体"/>
      <w:kern w:val="0"/>
      <w:sz w:val="20"/>
      <w:szCs w:val="20"/>
    </w:rPr>
  </w:style>
  <w:style w:type="paragraph" w:customStyle="1" w:styleId="55">
    <w:name w:val="xl79"/>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Times New Roman" w:hAnsi="Times New Roman" w:eastAsia="宋体" w:cs="Times New Roman"/>
      <w:kern w:val="0"/>
      <w:sz w:val="20"/>
      <w:szCs w:val="20"/>
    </w:rPr>
  </w:style>
  <w:style w:type="paragraph" w:customStyle="1" w:styleId="56">
    <w:name w:val="xl80"/>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Times New Roman" w:hAnsi="Times New Roman" w:eastAsia="宋体" w:cs="Times New Roman"/>
      <w:kern w:val="0"/>
      <w:sz w:val="20"/>
      <w:szCs w:val="20"/>
    </w:rPr>
  </w:style>
  <w:style w:type="paragraph" w:customStyle="1" w:styleId="57">
    <w:name w:val="xl81"/>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Times New Roman" w:hAnsi="Times New Roman" w:eastAsia="宋体" w:cs="Times New Roman"/>
      <w:kern w:val="0"/>
      <w:sz w:val="20"/>
      <w:szCs w:val="20"/>
    </w:rPr>
  </w:style>
  <w:style w:type="paragraph" w:customStyle="1" w:styleId="58">
    <w:name w:val="xl82"/>
    <w:basedOn w:val="1"/>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ascii="Times New Roman" w:hAnsi="Times New Roman" w:eastAsia="宋体" w:cs="Times New Roman"/>
      <w:kern w:val="0"/>
      <w:sz w:val="20"/>
      <w:szCs w:val="20"/>
    </w:rPr>
  </w:style>
  <w:style w:type="paragraph" w:customStyle="1" w:styleId="59">
    <w:name w:val="xl83"/>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0"/>
      <w:szCs w:val="20"/>
    </w:rPr>
  </w:style>
  <w:style w:type="paragraph" w:customStyle="1" w:styleId="60">
    <w:name w:val="xl84"/>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Times New Roman" w:hAnsi="Times New Roman" w:eastAsia="宋体" w:cs="Times New Roman"/>
      <w:kern w:val="0"/>
      <w:sz w:val="20"/>
      <w:szCs w:val="20"/>
    </w:rPr>
  </w:style>
  <w:style w:type="paragraph" w:customStyle="1" w:styleId="61">
    <w:name w:val="xl85"/>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Times New Roman" w:hAnsi="Times New Roman" w:eastAsia="宋体" w:cs="Times New Roman"/>
      <w:kern w:val="0"/>
      <w:sz w:val="20"/>
      <w:szCs w:val="20"/>
    </w:rPr>
  </w:style>
  <w:style w:type="paragraph" w:customStyle="1" w:styleId="62">
    <w:name w:val="xl86"/>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Times New Roman" w:hAnsi="Times New Roman" w:eastAsia="宋体" w:cs="Times New Roman"/>
      <w:kern w:val="0"/>
      <w:sz w:val="20"/>
      <w:szCs w:val="20"/>
    </w:rPr>
  </w:style>
  <w:style w:type="paragraph" w:customStyle="1" w:styleId="63">
    <w:name w:val="xl87"/>
    <w:basedOn w:val="1"/>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Times New Roman" w:hAnsi="Times New Roman" w:eastAsia="宋体" w:cs="Times New Roman"/>
      <w:kern w:val="0"/>
      <w:sz w:val="20"/>
      <w:szCs w:val="20"/>
    </w:rPr>
  </w:style>
  <w:style w:type="paragraph" w:customStyle="1" w:styleId="64">
    <w:name w:val="xl88"/>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cs="宋体"/>
      <w:kern w:val="0"/>
      <w:sz w:val="20"/>
      <w:szCs w:val="20"/>
    </w:rPr>
  </w:style>
  <w:style w:type="paragraph" w:customStyle="1" w:styleId="65">
    <w:name w:val="xl89"/>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b/>
      <w:bCs/>
      <w:color w:val="000000"/>
      <w:kern w:val="0"/>
      <w:sz w:val="20"/>
      <w:szCs w:val="20"/>
    </w:rPr>
  </w:style>
  <w:style w:type="paragraph" w:customStyle="1" w:styleId="66">
    <w:name w:val="font14"/>
    <w:basedOn w:val="1"/>
    <w:uiPriority w:val="0"/>
    <w:pPr>
      <w:widowControl/>
      <w:spacing w:before="100" w:beforeAutospacing="1" w:after="100" w:afterAutospacing="1"/>
      <w:jc w:val="left"/>
    </w:pPr>
    <w:rPr>
      <w:rFonts w:ascii="等线" w:hAnsi="等线" w:eastAsia="等线" w:cs="宋体"/>
      <w:kern w:val="0"/>
      <w:sz w:val="18"/>
      <w:szCs w:val="18"/>
    </w:rPr>
  </w:style>
  <w:style w:type="paragraph" w:customStyle="1" w:styleId="67">
    <w:name w:val="font15"/>
    <w:basedOn w:val="1"/>
    <w:uiPriority w:val="0"/>
    <w:pPr>
      <w:widowControl/>
      <w:spacing w:before="100" w:beforeAutospacing="1" w:after="100" w:afterAutospacing="1"/>
      <w:jc w:val="left"/>
    </w:pPr>
    <w:rPr>
      <w:rFonts w:ascii="Times New Roman" w:hAnsi="Times New Roman" w:eastAsia="宋体" w:cs="Times New Roman"/>
      <w:color w:val="000000"/>
      <w:kern w:val="0"/>
      <w:sz w:val="20"/>
      <w:szCs w:val="20"/>
    </w:rPr>
  </w:style>
  <w:style w:type="paragraph" w:customStyle="1" w:styleId="68">
    <w:name w:val="xl90"/>
    <w:basedOn w:val="1"/>
    <w:uiPriority w:val="0"/>
    <w:pPr>
      <w:widowControl/>
      <w:shd w:val="clear" w:color="000000" w:fill="FFFFFF"/>
      <w:spacing w:before="100" w:beforeAutospacing="1" w:after="100" w:afterAutospacing="1"/>
      <w:jc w:val="left"/>
      <w:textAlignment w:val="center"/>
    </w:pPr>
    <w:rPr>
      <w:rFonts w:ascii="Times New Roman" w:hAnsi="Times New Roman" w:eastAsia="宋体" w:cs="Times New Roman"/>
      <w:kern w:val="0"/>
      <w:sz w:val="20"/>
      <w:szCs w:val="20"/>
    </w:rPr>
  </w:style>
  <w:style w:type="paragraph" w:customStyle="1" w:styleId="69">
    <w:name w:val="xl91"/>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Times New Roman" w:hAnsi="Times New Roman" w:eastAsia="宋体" w:cs="Times New Roman"/>
      <w:kern w:val="0"/>
      <w:sz w:val="20"/>
      <w:szCs w:val="20"/>
    </w:rPr>
  </w:style>
  <w:style w:type="paragraph" w:customStyle="1" w:styleId="70">
    <w:name w:val="xl92"/>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Times New Roman" w:hAnsi="Times New Roman" w:eastAsia="宋体" w:cs="Times New Roman"/>
      <w:color w:val="000000"/>
      <w:kern w:val="0"/>
      <w:sz w:val="20"/>
      <w:szCs w:val="20"/>
    </w:rPr>
  </w:style>
  <w:style w:type="paragraph" w:customStyle="1" w:styleId="71">
    <w:name w:val="xl93"/>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eastAsia="宋体" w:cs="Times New Roman"/>
      <w:kern w:val="0"/>
      <w:sz w:val="20"/>
      <w:szCs w:val="20"/>
    </w:rPr>
  </w:style>
  <w:style w:type="paragraph" w:customStyle="1" w:styleId="72">
    <w:name w:val="xl94"/>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Times New Roman" w:hAnsi="Times New Roman" w:eastAsia="宋体" w:cs="Times New Roman"/>
      <w:kern w:val="0"/>
      <w:sz w:val="20"/>
      <w:szCs w:val="20"/>
    </w:rPr>
  </w:style>
  <w:style w:type="paragraph" w:customStyle="1" w:styleId="73">
    <w:name w:val="xl95"/>
    <w:basedOn w:val="1"/>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Times New Roman" w:hAnsi="Times New Roman" w:eastAsia="宋体" w:cs="Times New Roman"/>
      <w:b/>
      <w:bCs/>
      <w:kern w:val="0"/>
      <w:sz w:val="20"/>
      <w:szCs w:val="20"/>
    </w:rPr>
  </w:style>
  <w:style w:type="paragraph" w:customStyle="1" w:styleId="74">
    <w:name w:val="xl96"/>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Times New Roman" w:hAnsi="Times New Roman" w:eastAsia="宋体" w:cs="Times New Roman"/>
      <w:kern w:val="0"/>
      <w:sz w:val="20"/>
      <w:szCs w:val="20"/>
    </w:rPr>
  </w:style>
  <w:style w:type="paragraph" w:customStyle="1" w:styleId="75">
    <w:name w:val="xl97"/>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Times New Roman" w:hAnsi="Times New Roman" w:eastAsia="宋体" w:cs="Times New Roman"/>
      <w:kern w:val="0"/>
      <w:sz w:val="20"/>
      <w:szCs w:val="20"/>
    </w:rPr>
  </w:style>
  <w:style w:type="paragraph" w:customStyle="1" w:styleId="76">
    <w:name w:val="xl98"/>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Times New Roman" w:hAnsi="Times New Roman" w:eastAsia="宋体" w:cs="Times New Roman"/>
      <w:kern w:val="0"/>
      <w:sz w:val="20"/>
      <w:szCs w:val="20"/>
    </w:rPr>
  </w:style>
  <w:style w:type="paragraph" w:customStyle="1" w:styleId="77">
    <w:name w:val="xl99"/>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Times New Roman" w:hAnsi="Times New Roman" w:eastAsia="宋体" w:cs="Times New Roman"/>
      <w:kern w:val="0"/>
      <w:sz w:val="20"/>
      <w:szCs w:val="20"/>
    </w:rPr>
  </w:style>
  <w:style w:type="paragraph" w:customStyle="1" w:styleId="78">
    <w:name w:val="xl100"/>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top"/>
    </w:pPr>
    <w:rPr>
      <w:rFonts w:ascii="宋体" w:hAnsi="宋体" w:eastAsia="宋体" w:cs="宋体"/>
      <w:kern w:val="0"/>
      <w:sz w:val="20"/>
      <w:szCs w:val="20"/>
    </w:rPr>
  </w:style>
  <w:style w:type="paragraph" w:customStyle="1" w:styleId="79">
    <w:name w:val="xl101"/>
    <w:basedOn w:val="1"/>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Times New Roman" w:hAnsi="Times New Roman" w:eastAsia="宋体" w:cs="Times New Roman"/>
      <w:b/>
      <w:bCs/>
      <w:kern w:val="0"/>
      <w:sz w:val="20"/>
      <w:szCs w:val="20"/>
    </w:rPr>
  </w:style>
  <w:style w:type="paragraph" w:customStyle="1" w:styleId="80">
    <w:name w:val="xl102"/>
    <w:basedOn w:val="1"/>
    <w:uiPriority w:val="0"/>
    <w:pPr>
      <w:widowControl/>
      <w:pBdr>
        <w:left w:val="single" w:color="auto" w:sz="4" w:space="0"/>
        <w:right w:val="single" w:color="auto" w:sz="4" w:space="0"/>
      </w:pBdr>
      <w:shd w:val="clear" w:color="000000" w:fill="FFFFFF"/>
      <w:spacing w:before="100" w:beforeAutospacing="1" w:after="100" w:afterAutospacing="1"/>
      <w:jc w:val="center"/>
      <w:textAlignment w:val="center"/>
    </w:pPr>
    <w:rPr>
      <w:rFonts w:ascii="Times New Roman" w:hAnsi="Times New Roman" w:eastAsia="宋体" w:cs="Times New Roman"/>
      <w:b/>
      <w:bCs/>
      <w:kern w:val="0"/>
      <w:sz w:val="20"/>
      <w:szCs w:val="20"/>
    </w:rPr>
  </w:style>
  <w:style w:type="character" w:customStyle="1" w:styleId="81">
    <w:name w:val="批注文字 字符"/>
    <w:basedOn w:val="18"/>
    <w:link w:val="7"/>
    <w:semiHidden/>
    <w:uiPriority w:val="99"/>
  </w:style>
  <w:style w:type="character" w:customStyle="1" w:styleId="82">
    <w:name w:val="批注主题 字符"/>
    <w:basedOn w:val="81"/>
    <w:link w:val="15"/>
    <w:semiHidden/>
    <w:uiPriority w:val="99"/>
    <w:rPr>
      <w:b/>
      <w:bCs/>
    </w:rPr>
  </w:style>
  <w:style w:type="character" w:customStyle="1" w:styleId="83">
    <w:name w:val="批注框文本 字符"/>
    <w:basedOn w:val="18"/>
    <w:link w:val="9"/>
    <w:semiHidden/>
    <w:uiPriority w:val="99"/>
    <w:rPr>
      <w:sz w:val="18"/>
      <w:szCs w:val="18"/>
    </w:rPr>
  </w:style>
  <w:style w:type="paragraph" w:customStyle="1" w:styleId="84">
    <w:name w:val="Revision"/>
    <w:hidden/>
    <w:semiHidden/>
    <w:uiPriority w:val="99"/>
    <w:rPr>
      <w:rFonts w:asciiTheme="minorHAnsi" w:hAnsiTheme="minorHAnsi" w:eastAsiaTheme="minorEastAsia" w:cstheme="minorBidi"/>
      <w:kern w:val="2"/>
      <w:sz w:val="21"/>
      <w:szCs w:val="22"/>
      <w:lang w:val="en-US" w:eastAsia="zh-CN" w:bidi="ar-SA"/>
    </w:rPr>
  </w:style>
  <w:style w:type="character" w:customStyle="1" w:styleId="85">
    <w:name w:val="文档结构图 字符"/>
    <w:basedOn w:val="18"/>
    <w:link w:val="6"/>
    <w:semiHidden/>
    <w:uiPriority w:val="99"/>
    <w:rPr>
      <w:rFonts w:ascii="宋体" w:eastAsia="宋体"/>
      <w:sz w:val="18"/>
      <w:szCs w:val="18"/>
    </w:rPr>
  </w:style>
  <w:style w:type="character" w:customStyle="1" w:styleId="86">
    <w:name w:val="列表段落 字符"/>
    <w:link w:val="24"/>
    <w:qFormat/>
    <w:locked/>
    <w:uiPriority w:val="34"/>
  </w:style>
  <w:style w:type="paragraph" w:customStyle="1" w:styleId="87">
    <w:name w:val="TOC Heading"/>
    <w:basedOn w:val="2"/>
    <w:next w:val="1"/>
    <w:unhideWhenUsed/>
    <w:qFormat/>
    <w:uiPriority w:val="39"/>
    <w:pPr>
      <w:keepNext/>
      <w:keepLines/>
      <w:pageBreakBefore w:val="0"/>
      <w:spacing w:before="240" w:line="259" w:lineRule="auto"/>
      <w:outlineLvl w:val="9"/>
    </w:pPr>
    <w:rPr>
      <w:rFonts w:asciiTheme="majorHAnsi" w:hAnsiTheme="majorHAnsi" w:eastAsiaTheme="majorEastAsia" w:cstheme="majorBidi"/>
      <w:bCs w:val="0"/>
      <w:color w:val="2F5597" w:themeColor="accent1" w:themeShade="BF"/>
      <w:kern w:val="0"/>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CE23B13-BDEB-4232-9E99-B7AF7577ACA8}">
  <ds:schemaRefs/>
</ds:datastoreItem>
</file>

<file path=docProps/app.xml><?xml version="1.0" encoding="utf-8"?>
<Properties xmlns="http://schemas.openxmlformats.org/officeDocument/2006/extended-properties" xmlns:vt="http://schemas.openxmlformats.org/officeDocument/2006/docPropsVTypes">
  <Template>Normal</Template>
  <Pages>1</Pages>
  <Words>1239</Words>
  <Characters>7066</Characters>
  <Lines>58</Lines>
  <Paragraphs>16</Paragraphs>
  <TotalTime>887</TotalTime>
  <ScaleCrop>false</ScaleCrop>
  <LinksUpToDate>false</LinksUpToDate>
  <CharactersWithSpaces>8289</CharactersWithSpaces>
  <Application>WPS Office_11.1.0.8415_F1E327BC-269C-435d-A152-05C5408002CA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2019-01-11T10:01:00Z</dcterms:created>
  <dc:creator>胡兵</dc:creator>
  <cp:lastModifiedBy>天锡纯嘏</cp:lastModifiedBy>
  <cp:lastPrinted>2019-01-25T08:37:00Z</cp:lastPrinted>
  <dcterms:modified xsi:type="dcterms:W3CDTF">2019-02-11T03:14:05Z</dcterms:modified>
  <cp:revision>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2052-11.1.0.8415</vt:lpwstr>
  </property>
</Properties>
</file>