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9"/>
        <w:spacing w:line="400" w:lineRule="exact"/>
        <w:ind w:firstLine="560"/>
        <w:rPr>
          <w:rFonts w:ascii="Times New Roman" w:hAnsi="Times New Roman"/>
          <w:sz w:val="20"/>
        </w:rPr>
      </w:pPr>
      <w:bookmarkStart w:id="399" w:name="_GoBack"/>
      <w:bookmarkEnd w:id="399"/>
    </w:p>
    <w:p>
      <w:pPr>
        <w:pStyle w:val="9"/>
        <w:spacing w:line="400" w:lineRule="exact"/>
        <w:ind w:firstLine="560"/>
        <w:rPr>
          <w:rFonts w:ascii="Times New Roman" w:hAnsi="Times New Roman"/>
          <w:sz w:val="20"/>
        </w:rPr>
      </w:pPr>
    </w:p>
    <w:p>
      <w:pPr>
        <w:spacing w:line="400" w:lineRule="exact"/>
        <w:rPr>
          <w:rFonts w:ascii="Times New Roman" w:hAnsi="Times New Roman"/>
        </w:rPr>
      </w:pPr>
    </w:p>
    <w:p>
      <w:pPr>
        <w:spacing w:line="400" w:lineRule="exact"/>
        <w:rPr>
          <w:rFonts w:ascii="Times New Roman" w:hAnsi="Times New Roman"/>
          <w:u w:val="single"/>
        </w:rPr>
      </w:pPr>
    </w:p>
    <w:p>
      <w:pPr>
        <w:spacing w:line="360" w:lineRule="auto"/>
        <w:jc w:val="center"/>
        <w:rPr>
          <w:rFonts w:ascii="Times New Roman" w:hAnsi="Times New Roman" w:eastAsia="黑体"/>
          <w:sz w:val="28"/>
          <w:szCs w:val="28"/>
        </w:rPr>
      </w:pPr>
      <w:permStart w:id="0" w:edGrp="everyone"/>
      <w:r>
        <w:rPr>
          <w:rFonts w:hint="eastAsia" w:ascii="Times New Roman" w:hAnsi="Times New Roman" w:eastAsia="黑体"/>
          <w:sz w:val="44"/>
        </w:rPr>
        <w:t>黄山市屯溪区昱城产业投资控股有限公司财务报表审计遴选项目</w:t>
      </w:r>
    </w:p>
    <w:permEnd w:id="0"/>
    <w:p>
      <w:pPr>
        <w:jc w:val="center"/>
        <w:rPr>
          <w:rFonts w:ascii="Times New Roman" w:hAnsi="Times New Roman" w:eastAsia="黑体"/>
          <w:sz w:val="28"/>
          <w:szCs w:val="28"/>
        </w:rPr>
      </w:pPr>
    </w:p>
    <w:p>
      <w:pPr>
        <w:jc w:val="center"/>
        <w:rPr>
          <w:rFonts w:ascii="Times New Roman" w:hAnsi="Times New Roman" w:eastAsia="黑体"/>
          <w:sz w:val="28"/>
          <w:szCs w:val="28"/>
        </w:rPr>
      </w:pPr>
      <w:r>
        <w:rPr>
          <w:rFonts w:ascii="Times New Roman" w:hAnsi="Times New Roman" w:eastAsia="黑体"/>
          <w:sz w:val="28"/>
          <w:szCs w:val="28"/>
        </w:rPr>
        <w:t>（采购编号：</w:t>
      </w:r>
      <w:permStart w:id="1" w:edGrp="everyone"/>
      <w:r>
        <w:rPr>
          <w:rFonts w:ascii="Times New Roman" w:hAnsi="Times New Roman" w:eastAsia="黑体"/>
          <w:sz w:val="28"/>
          <w:szCs w:val="28"/>
        </w:rPr>
        <w:t>GN2024-Z27-012</w:t>
      </w:r>
      <w:permEnd w:id="1"/>
      <w:r>
        <w:rPr>
          <w:rFonts w:ascii="Times New Roman" w:hAnsi="Times New Roman" w:eastAsia="黑体"/>
          <w:sz w:val="28"/>
          <w:szCs w:val="28"/>
        </w:rPr>
        <w:t>）</w:t>
      </w:r>
    </w:p>
    <w:p>
      <w:pPr>
        <w:spacing w:line="400" w:lineRule="exact"/>
        <w:rPr>
          <w:rFonts w:ascii="Times New Roman" w:hAnsi="Times New Roman"/>
        </w:rPr>
      </w:pPr>
    </w:p>
    <w:p>
      <w:pPr>
        <w:spacing w:line="400" w:lineRule="exact"/>
        <w:jc w:val="right"/>
        <w:rPr>
          <w:rFonts w:ascii="Times New Roman" w:hAnsi="Times New Roman"/>
        </w:rPr>
      </w:pPr>
    </w:p>
    <w:p>
      <w:pPr>
        <w:rPr>
          <w:rFonts w:ascii="Times New Roman" w:hAnsi="Times New Roman"/>
          <w:sz w:val="28"/>
          <w:szCs w:val="28"/>
        </w:rPr>
      </w:pPr>
    </w:p>
    <w:p>
      <w:pPr>
        <w:rPr>
          <w:rFonts w:ascii="Times New Roman" w:hAnsi="Times New Roman"/>
          <w:sz w:val="28"/>
        </w:rPr>
      </w:pPr>
    </w:p>
    <w:p>
      <w:pPr>
        <w:jc w:val="center"/>
        <w:rPr>
          <w:rFonts w:ascii="Times New Roman" w:hAnsi="Times New Roman" w:eastAsia="黑体"/>
          <w:sz w:val="44"/>
        </w:rPr>
      </w:pPr>
      <w:r>
        <w:rPr>
          <w:rFonts w:ascii="Times New Roman" w:hAnsi="Times New Roman" w:eastAsia="黑体"/>
          <w:sz w:val="44"/>
        </w:rPr>
        <w:t>询比采购文件</w:t>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pStyle w:val="2"/>
        <w:ind w:firstLine="640"/>
        <w:rPr>
          <w:rFonts w:asci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360" w:lineRule="auto"/>
        <w:ind w:firstLine="1400" w:firstLineChars="500"/>
        <w:jc w:val="left"/>
        <w:rPr>
          <w:rFonts w:ascii="Times New Roman" w:hAnsi="Times New Roman" w:eastAsia="黑体"/>
          <w:sz w:val="28"/>
          <w:szCs w:val="28"/>
        </w:rPr>
      </w:pPr>
      <w:r>
        <w:rPr>
          <w:rFonts w:ascii="Times New Roman" w:hAnsi="Times New Roman" w:eastAsia="黑体"/>
          <w:sz w:val="28"/>
        </w:rPr>
        <w:t>采   购   人：</w:t>
      </w:r>
      <w:permStart w:id="2" w:edGrp="everyone"/>
      <w:r>
        <w:rPr>
          <w:rFonts w:hint="eastAsia" w:ascii="Times New Roman" w:hAnsi="Times New Roman" w:eastAsia="黑体"/>
          <w:sz w:val="28"/>
          <w:szCs w:val="28"/>
          <w:u w:val="single"/>
        </w:rPr>
        <w:t>黄山市屯溪区昱城产业投资控股有限公司</w:t>
      </w:r>
      <w:permEnd w:id="2"/>
    </w:p>
    <w:p>
      <w:pPr>
        <w:spacing w:line="360" w:lineRule="auto"/>
        <w:ind w:firstLine="1400" w:firstLineChars="500"/>
        <w:jc w:val="left"/>
        <w:rPr>
          <w:rFonts w:ascii="Times New Roman" w:hAnsi="Times New Roman" w:eastAsia="黑体"/>
          <w:sz w:val="28"/>
          <w:szCs w:val="28"/>
        </w:rPr>
      </w:pPr>
      <w:r>
        <w:rPr>
          <w:rFonts w:ascii="Times New Roman" w:hAnsi="Times New Roman" w:eastAsia="黑体"/>
          <w:sz w:val="28"/>
        </w:rPr>
        <w:t>采购代理机构：</w:t>
      </w:r>
      <w:r>
        <w:rPr>
          <w:rFonts w:ascii="Times New Roman" w:hAnsi="Times New Roman" w:eastAsia="黑体"/>
          <w:sz w:val="28"/>
          <w:szCs w:val="28"/>
        </w:rPr>
        <w:t>黄山市昱建工程咨询有限责任公司</w:t>
      </w:r>
    </w:p>
    <w:p>
      <w:pPr>
        <w:jc w:val="center"/>
        <w:rPr>
          <w:rFonts w:ascii="Times New Roman" w:hAnsi="Times New Roman" w:eastAsia="黑体"/>
          <w:sz w:val="28"/>
        </w:rPr>
      </w:pPr>
      <w:r>
        <w:rPr>
          <w:rFonts w:ascii="Times New Roman" w:hAnsi="Times New Roman" w:eastAsia="黑体"/>
          <w:sz w:val="28"/>
          <w:szCs w:val="28"/>
        </w:rPr>
        <w:t>202</w:t>
      </w:r>
      <w:permStart w:id="3" w:edGrp="everyone"/>
      <w:r>
        <w:rPr>
          <w:rFonts w:ascii="Times New Roman" w:hAnsi="Times New Roman" w:eastAsia="黑体"/>
          <w:sz w:val="28"/>
          <w:szCs w:val="28"/>
        </w:rPr>
        <w:t>4</w:t>
      </w:r>
      <w:permEnd w:id="3"/>
      <w:r>
        <w:rPr>
          <w:rFonts w:ascii="Times New Roman" w:hAnsi="Times New Roman" w:eastAsia="黑体"/>
          <w:sz w:val="28"/>
          <w:szCs w:val="28"/>
        </w:rPr>
        <w:t>年</w:t>
      </w:r>
      <w:permStart w:id="4" w:edGrp="everyone"/>
      <w:r>
        <w:rPr>
          <w:rFonts w:ascii="Times New Roman" w:hAnsi="Times New Roman" w:eastAsia="黑体"/>
          <w:sz w:val="28"/>
          <w:szCs w:val="28"/>
        </w:rPr>
        <w:t>10</w:t>
      </w:r>
      <w:permEnd w:id="4"/>
      <w:r>
        <w:rPr>
          <w:rFonts w:ascii="Times New Roman" w:hAnsi="Times New Roman" w:eastAsia="黑体"/>
          <w:sz w:val="28"/>
          <w:szCs w:val="28"/>
        </w:rPr>
        <w:t>月</w:t>
      </w:r>
    </w:p>
    <w:p>
      <w:pPr>
        <w:jc w:val="center"/>
        <w:rPr>
          <w:rFonts w:ascii="Times New Roman" w:hAnsi="Times New Roman" w:eastAsia="黑体"/>
          <w:sz w:val="28"/>
        </w:rPr>
      </w:pPr>
    </w:p>
    <w:p>
      <w:pPr>
        <w:jc w:val="center"/>
        <w:rPr>
          <w:rFonts w:ascii="Times New Roman" w:hAnsi="Times New Roman"/>
        </w:rPr>
      </w:pPr>
      <w:r>
        <w:rPr>
          <w:rFonts w:ascii="Times New Roman" w:hAnsi="Times New Roman"/>
        </w:rPr>
        <w:br w:type="page"/>
      </w:r>
    </w:p>
    <w:p>
      <w:pPr>
        <w:jc w:val="center"/>
        <w:rPr>
          <w:rFonts w:ascii="Times New Roman" w:hAnsi="Times New Roman" w:eastAsia="黑体"/>
          <w:sz w:val="32"/>
        </w:rPr>
      </w:pPr>
      <w:r>
        <w:rPr>
          <w:rFonts w:ascii="Times New Roman" w:hAnsi="Times New Roman" w:eastAsia="黑体"/>
          <w:sz w:val="32"/>
        </w:rPr>
        <w:t>目  录</w:t>
      </w:r>
      <w:r>
        <w:rPr>
          <w:rFonts w:ascii="Times New Roman" w:hAnsi="Times New Roman"/>
          <w:b/>
          <w:bCs/>
          <w:caps/>
          <w:sz w:val="28"/>
          <w:szCs w:val="28"/>
        </w:rPr>
        <w:fldChar w:fldCharType="begin"/>
      </w:r>
      <w:r>
        <w:rPr>
          <w:rFonts w:ascii="Times New Roman" w:hAnsi="Times New Roman"/>
          <w:sz w:val="28"/>
          <w:szCs w:val="28"/>
        </w:rPr>
        <w:instrText xml:space="preserve"> TOC \o "1-1" \h \z \u </w:instrText>
      </w:r>
      <w:r>
        <w:rPr>
          <w:rFonts w:ascii="Times New Roman" w:hAnsi="Times New Roman"/>
          <w:b/>
          <w:bCs/>
          <w:caps/>
          <w:sz w:val="28"/>
          <w:szCs w:val="28"/>
        </w:rPr>
        <w:fldChar w:fldCharType="separate"/>
      </w:r>
    </w:p>
    <w:p>
      <w:pPr>
        <w:pStyle w:val="22"/>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"_Toc84601116" </w:instrText>
      </w:r>
      <w:r>
        <w:fldChar w:fldCharType="separate"/>
      </w:r>
      <w:r>
        <w:rPr>
          <w:rStyle w:val="34"/>
          <w:rFonts w:ascii="Times New Roman" w:hAnsi="Times New Roman" w:cs="Times New Roman"/>
          <w:color w:val="auto"/>
          <w:sz w:val="28"/>
          <w:szCs w:val="28"/>
        </w:rPr>
        <w:t>第一章  询比采购邀请书</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_Toc84601116 \h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22"/>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"_Toc84601117" </w:instrText>
      </w:r>
      <w:r>
        <w:fldChar w:fldCharType="separate"/>
      </w:r>
      <w:r>
        <w:rPr>
          <w:rStyle w:val="34"/>
          <w:rFonts w:ascii="Times New Roman" w:hAnsi="Times New Roman" w:cs="Times New Roman"/>
          <w:color w:val="auto"/>
          <w:sz w:val="28"/>
          <w:szCs w:val="28"/>
        </w:rPr>
        <w:t>第二章  供应商须知</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_Toc84601117 \h </w:instrText>
      </w:r>
      <w:r>
        <w:rPr>
          <w:rFonts w:ascii="Times New Roman" w:hAnsi="Times New Roman" w:cs="Times New Roman"/>
          <w:sz w:val="28"/>
          <w:szCs w:val="28"/>
        </w:rPr>
        <w:fldChar w:fldCharType="separate"/>
      </w:r>
      <w:r>
        <w:rPr>
          <w:rFonts w:ascii="Times New Roman" w:hAnsi="Times New Roman" w:cs="Times New Roman"/>
          <w:sz w:val="28"/>
          <w:szCs w:val="28"/>
        </w:rPr>
        <w:t>5</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22"/>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"_Toc84601118" </w:instrText>
      </w:r>
      <w:r>
        <w:fldChar w:fldCharType="separate"/>
      </w:r>
      <w:r>
        <w:rPr>
          <w:rStyle w:val="34"/>
          <w:rFonts w:ascii="Times New Roman" w:hAnsi="Times New Roman" w:cs="Times New Roman"/>
          <w:color w:val="auto"/>
          <w:sz w:val="28"/>
          <w:szCs w:val="28"/>
        </w:rPr>
        <w:t>第三章  采购需求</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_Toc84601118 \h </w:instrText>
      </w:r>
      <w:r>
        <w:rPr>
          <w:rFonts w:ascii="Times New Roman" w:hAnsi="Times New Roman" w:cs="Times New Roman"/>
          <w:sz w:val="28"/>
          <w:szCs w:val="28"/>
        </w:rPr>
        <w:fldChar w:fldCharType="separate"/>
      </w:r>
      <w:r>
        <w:rPr>
          <w:rFonts w:ascii="Times New Roman" w:hAnsi="Times New Roman" w:cs="Times New Roman"/>
          <w:sz w:val="28"/>
          <w:szCs w:val="28"/>
        </w:rPr>
        <w:t>25</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22"/>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"_Toc84601119" </w:instrText>
      </w:r>
      <w:r>
        <w:fldChar w:fldCharType="separate"/>
      </w:r>
      <w:r>
        <w:rPr>
          <w:rStyle w:val="34"/>
          <w:rFonts w:ascii="Times New Roman" w:hAnsi="Times New Roman" w:cs="Times New Roman"/>
          <w:color w:val="auto"/>
          <w:sz w:val="28"/>
          <w:szCs w:val="28"/>
        </w:rPr>
        <w:t>第四章  评审办法（最低价法）</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_Toc84601119 \h </w:instrText>
      </w:r>
      <w:r>
        <w:rPr>
          <w:rFonts w:ascii="Times New Roman" w:hAnsi="Times New Roman" w:cs="Times New Roman"/>
          <w:sz w:val="28"/>
          <w:szCs w:val="28"/>
        </w:rPr>
        <w:fldChar w:fldCharType="separate"/>
      </w:r>
      <w:r>
        <w:rPr>
          <w:rFonts w:ascii="Times New Roman" w:hAnsi="Times New Roman" w:cs="Times New Roman"/>
          <w:sz w:val="28"/>
          <w:szCs w:val="28"/>
        </w:rPr>
        <w:t>26</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22"/>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"_Toc84601121" </w:instrText>
      </w:r>
      <w:r>
        <w:fldChar w:fldCharType="separate"/>
      </w:r>
      <w:r>
        <w:rPr>
          <w:rStyle w:val="34"/>
          <w:rFonts w:ascii="Times New Roman" w:hAnsi="Times New Roman" w:cs="Times New Roman"/>
          <w:color w:val="auto"/>
          <w:sz w:val="28"/>
          <w:szCs w:val="28"/>
        </w:rPr>
        <w:t>第五章  合同条款及格式</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_Toc84601121 \h </w:instrText>
      </w:r>
      <w:r>
        <w:rPr>
          <w:rFonts w:ascii="Times New Roman" w:hAnsi="Times New Roman" w:cs="Times New Roman"/>
          <w:sz w:val="28"/>
          <w:szCs w:val="28"/>
        </w:rPr>
        <w:fldChar w:fldCharType="separate"/>
      </w:r>
      <w:r>
        <w:rPr>
          <w:rFonts w:ascii="Times New Roman" w:hAnsi="Times New Roman" w:cs="Times New Roman"/>
          <w:sz w:val="28"/>
          <w:szCs w:val="28"/>
        </w:rPr>
        <w:t>32</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pStyle w:val="22"/>
        <w:tabs>
          <w:tab w:val="right" w:leader="dot" w:pos="9060"/>
        </w:tabs>
        <w:spacing w:line="360" w:lineRule="auto"/>
        <w:rPr>
          <w:rFonts w:ascii="Times New Roman" w:hAnsi="Times New Roman" w:cs="Times New Roman" w:eastAsiaTheme="minorEastAsia"/>
          <w:b w:val="0"/>
          <w:bCs w:val="0"/>
          <w:caps w:val="0"/>
          <w:sz w:val="28"/>
          <w:szCs w:val="28"/>
        </w:rPr>
      </w:pPr>
      <w:r>
        <w:fldChar w:fldCharType="begin"/>
      </w:r>
      <w:r>
        <w:instrText xml:space="preserve"> HYPERLINK \l "_Toc84601122" </w:instrText>
      </w:r>
      <w:r>
        <w:fldChar w:fldCharType="separate"/>
      </w:r>
      <w:r>
        <w:rPr>
          <w:rStyle w:val="34"/>
          <w:rFonts w:ascii="Times New Roman" w:hAnsi="Times New Roman" w:cs="Times New Roman"/>
          <w:color w:val="auto"/>
          <w:sz w:val="28"/>
          <w:szCs w:val="28"/>
        </w:rPr>
        <w:t>第六章  响应文件格式</w:t>
      </w:r>
      <w:r>
        <w:rPr>
          <w:rFonts w:ascii="Times New Roman" w:hAnsi="Times New Roman" w:cs="Times New Roman"/>
          <w:sz w:val="28"/>
          <w:szCs w:val="28"/>
        </w:rPr>
        <w:tab/>
      </w: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PAGEREF _Toc84601122 \h </w:instrText>
      </w:r>
      <w:r>
        <w:rPr>
          <w:rFonts w:ascii="Times New Roman" w:hAnsi="Times New Roman" w:cs="Times New Roman"/>
          <w:sz w:val="28"/>
          <w:szCs w:val="28"/>
        </w:rPr>
        <w:fldChar w:fldCharType="separate"/>
      </w:r>
      <w:r>
        <w:rPr>
          <w:rFonts w:ascii="Times New Roman" w:hAnsi="Times New Roman" w:cs="Times New Roman"/>
          <w:sz w:val="28"/>
          <w:szCs w:val="28"/>
        </w:rPr>
        <w:t>39</w:t>
      </w:r>
      <w:r>
        <w:rPr>
          <w:rFonts w:ascii="Times New Roman" w:hAnsi="Times New Roman" w:cs="Times New Roman"/>
          <w:sz w:val="28"/>
          <w:szCs w:val="28"/>
        </w:rPr>
        <w:fldChar w:fldCharType="end"/>
      </w:r>
      <w:r>
        <w:rPr>
          <w:rFonts w:ascii="Times New Roman" w:hAnsi="Times New Roman" w:cs="Times New Roman"/>
          <w:sz w:val="28"/>
          <w:szCs w:val="28"/>
        </w:rPr>
        <w:fldChar w:fldCharType="end"/>
      </w:r>
    </w:p>
    <w:p>
      <w:pPr>
        <w:spacing w:line="360" w:lineRule="auto"/>
        <w:jc w:val="center"/>
        <w:rPr>
          <w:rFonts w:ascii="Times New Roman" w:hAnsi="Times New Roman"/>
        </w:rPr>
      </w:pPr>
      <w:r>
        <w:rPr>
          <w:rFonts w:ascii="Times New Roman" w:hAnsi="Times New Roman"/>
          <w:sz w:val="28"/>
          <w:szCs w:val="28"/>
        </w:rPr>
        <w:fldChar w:fldCharType="end"/>
      </w:r>
    </w:p>
    <w:p>
      <w:pPr>
        <w:jc w:val="center"/>
        <w:rPr>
          <w:rFonts w:ascii="Times New Roman" w:hAnsi="Times New Roman"/>
        </w:rPr>
      </w:pPr>
    </w:p>
    <w:p>
      <w:pPr>
        <w:pStyle w:val="5"/>
        <w:rPr>
          <w:color w:val="auto"/>
        </w:rPr>
        <w:sectPr>
          <w:footerReference r:id="rId3" w:type="default"/>
          <w:footnotePr>
            <w:numFmt w:val="decimalEnclosedCircleChinese"/>
          </w:footnotePr>
          <w:type w:val="continuous"/>
          <w:pgSz w:w="11906" w:h="16838"/>
          <w:pgMar w:top="1440" w:right="1803" w:bottom="1440" w:left="1803" w:header="720" w:footer="720" w:gutter="0"/>
          <w:cols w:space="0" w:num="1"/>
          <w:docGrid w:linePitch="286" w:charSpace="0"/>
        </w:sectPr>
      </w:pPr>
      <w:bookmarkStart w:id="0" w:name="_Toc501460631"/>
      <w:bookmarkStart w:id="1" w:name="_Toc81853706"/>
      <w:bookmarkStart w:id="2" w:name="_Toc152045511"/>
      <w:bookmarkStart w:id="3" w:name="_Toc84601115"/>
      <w:bookmarkStart w:id="4" w:name="_Toc152042287"/>
      <w:bookmarkStart w:id="5" w:name="_Toc144974479"/>
    </w:p>
    <w:bookmarkEnd w:id="0"/>
    <w:bookmarkEnd w:id="1"/>
    <w:bookmarkEnd w:id="2"/>
    <w:bookmarkEnd w:id="3"/>
    <w:bookmarkEnd w:id="4"/>
    <w:bookmarkEnd w:id="5"/>
    <w:p>
      <w:pPr>
        <w:pStyle w:val="5"/>
        <w:rPr>
          <w:color w:val="auto"/>
        </w:rPr>
      </w:pPr>
      <w:bookmarkStart w:id="6" w:name="_Toc81853719"/>
      <w:bookmarkStart w:id="7" w:name="_Toc84601116"/>
      <w:bookmarkStart w:id="8" w:name="_Toc501460639"/>
      <w:r>
        <w:rPr>
          <w:color w:val="auto"/>
        </w:rPr>
        <w:t>第一章  询比采购邀请书</w:t>
      </w:r>
      <w:bookmarkEnd w:id="6"/>
      <w:bookmarkEnd w:id="7"/>
    </w:p>
    <w:p>
      <w:pPr>
        <w:spacing w:line="360" w:lineRule="auto"/>
        <w:jc w:val="center"/>
        <w:rPr>
          <w:rFonts w:ascii="Times New Roman" w:hAnsi="Times New Roman" w:eastAsia="黑体"/>
          <w:sz w:val="28"/>
        </w:rPr>
      </w:pPr>
      <w:permStart w:id="5" w:edGrp="everyone"/>
      <w:r>
        <w:rPr>
          <w:rFonts w:hint="eastAsia" w:ascii="Times New Roman" w:hAnsi="Times New Roman" w:eastAsia="黑体"/>
          <w:sz w:val="28"/>
        </w:rPr>
        <w:t>黄山市屯溪区昱城产业投资控股有限公司财务报表审计遴选项目</w:t>
      </w:r>
    </w:p>
    <w:permEnd w:id="5"/>
    <w:p>
      <w:pPr>
        <w:spacing w:line="440" w:lineRule="exact"/>
        <w:jc w:val="center"/>
        <w:rPr>
          <w:rFonts w:ascii="Times New Roman" w:hAnsi="Times New Roman" w:eastAsia="黑体"/>
          <w:sz w:val="28"/>
        </w:rPr>
      </w:pPr>
      <w:r>
        <w:rPr>
          <w:rFonts w:ascii="Times New Roman" w:hAnsi="Times New Roman" w:eastAsia="黑体"/>
          <w:sz w:val="28"/>
          <w:szCs w:val="28"/>
        </w:rPr>
        <w:t>询比采购</w:t>
      </w:r>
      <w:r>
        <w:rPr>
          <w:rFonts w:ascii="Times New Roman" w:hAnsi="Times New Roman" w:eastAsia="黑体"/>
          <w:sz w:val="28"/>
        </w:rPr>
        <w:t>邀请书</w:t>
      </w:r>
    </w:p>
    <w:p>
      <w:pPr>
        <w:spacing w:line="440" w:lineRule="exact"/>
        <w:jc w:val="left"/>
        <w:rPr>
          <w:rFonts w:ascii="Times New Roman" w:hAnsi="Times New Roman" w:eastAsia="黑体"/>
          <w:sz w:val="20"/>
        </w:rPr>
      </w:pPr>
    </w:p>
    <w:p>
      <w:pPr>
        <w:spacing w:line="400" w:lineRule="exact"/>
        <w:rPr>
          <w:rFonts w:ascii="Times New Roman" w:hAnsi="Times New Roman"/>
          <w:szCs w:val="21"/>
        </w:rPr>
      </w:pPr>
      <w:r>
        <w:rPr>
          <w:rFonts w:ascii="Times New Roman" w:hAnsi="Times New Roman"/>
          <w:szCs w:val="21"/>
          <w:u w:val="single"/>
        </w:rPr>
        <w:t xml:space="preserve">                  </w:t>
      </w:r>
      <w:r>
        <w:rPr>
          <w:rFonts w:ascii="Times New Roman" w:hAnsi="Times New Roman"/>
          <w:szCs w:val="21"/>
        </w:rPr>
        <w:t>（被邀请单位名称）：</w:t>
      </w:r>
    </w:p>
    <w:p>
      <w:pPr>
        <w:spacing w:line="400" w:lineRule="exact"/>
        <w:ind w:firstLine="420" w:firstLineChars="200"/>
        <w:jc w:val="left"/>
        <w:rPr>
          <w:rFonts w:ascii="Times New Roman" w:hAnsi="Times New Roman"/>
          <w:szCs w:val="21"/>
        </w:rPr>
      </w:pPr>
      <w:permStart w:id="6" w:edGrp="everyone"/>
      <w:r>
        <w:rPr>
          <w:rFonts w:hint="eastAsia" w:ascii="Times New Roman" w:hAnsi="Times New Roman"/>
          <w:szCs w:val="21"/>
        </w:rPr>
        <w:t>黄山市屯溪区昱城产业投资控股有限公司财务报表审计遴选项目</w:t>
      </w:r>
      <w:permEnd w:id="6"/>
      <w:r>
        <w:rPr>
          <w:rFonts w:ascii="Times New Roman" w:hAnsi="Times New Roman"/>
          <w:szCs w:val="21"/>
        </w:rPr>
        <w:t>已具备采购条件，现邀请贵单位参加询比采购活动。</w:t>
      </w:r>
    </w:p>
    <w:p>
      <w:pPr>
        <w:pStyle w:val="6"/>
        <w:rPr>
          <w:rFonts w:ascii="Times New Roman" w:hAnsi="Times New Roman"/>
        </w:rPr>
      </w:pPr>
      <w:bookmarkStart w:id="9" w:name="_Toc81853720"/>
      <w:r>
        <w:rPr>
          <w:rFonts w:ascii="Times New Roman" w:hAnsi="Times New Roman"/>
        </w:rPr>
        <w:t>1. 采购项目简介</w:t>
      </w:r>
      <w:bookmarkEnd w:id="9"/>
    </w:p>
    <w:p>
      <w:pPr>
        <w:spacing w:line="400" w:lineRule="exact"/>
        <w:ind w:firstLine="420" w:firstLineChars="200"/>
        <w:rPr>
          <w:rFonts w:ascii="Times New Roman" w:hAnsi="Times New Roman"/>
        </w:rPr>
      </w:pPr>
      <w:r>
        <w:rPr>
          <w:rFonts w:ascii="Times New Roman" w:hAnsi="Times New Roman"/>
        </w:rPr>
        <w:t>1.1 采购项目名称：</w:t>
      </w:r>
      <w:permStart w:id="7" w:edGrp="everyone"/>
      <w:r>
        <w:rPr>
          <w:rFonts w:hint="eastAsia" w:ascii="Times New Roman" w:hAnsi="Times New Roman"/>
        </w:rPr>
        <w:t>黄山市屯溪区昱城产业投资控股有限公司财务报表审计遴选项目</w:t>
      </w:r>
      <w:permEnd w:id="7"/>
    </w:p>
    <w:p>
      <w:pPr>
        <w:spacing w:line="400" w:lineRule="exact"/>
        <w:ind w:firstLine="420" w:firstLineChars="200"/>
        <w:rPr>
          <w:rFonts w:ascii="Times New Roman" w:hAnsi="Times New Roman"/>
        </w:rPr>
      </w:pPr>
      <w:r>
        <w:rPr>
          <w:rFonts w:ascii="Times New Roman" w:hAnsi="Times New Roman"/>
        </w:rPr>
        <w:t>1.2 采购人：</w:t>
      </w:r>
      <w:permStart w:id="8" w:edGrp="everyone"/>
      <w:r>
        <w:rPr>
          <w:rFonts w:hint="eastAsia" w:ascii="Times New Roman" w:hAnsi="Times New Roman"/>
        </w:rPr>
        <w:t>黄山市屯溪区昱城产业投资控股有限公司</w:t>
      </w:r>
      <w:permEnd w:id="8"/>
    </w:p>
    <w:p>
      <w:pPr>
        <w:spacing w:line="400" w:lineRule="exact"/>
        <w:ind w:firstLine="420" w:firstLineChars="200"/>
        <w:rPr>
          <w:rFonts w:ascii="Times New Roman" w:hAnsi="Times New Roman"/>
        </w:rPr>
      </w:pPr>
      <w:r>
        <w:rPr>
          <w:rFonts w:ascii="Times New Roman" w:hAnsi="Times New Roman"/>
        </w:rPr>
        <w:t>1.3 采购代理机构：</w:t>
      </w:r>
      <w:permStart w:id="9" w:edGrp="everyone"/>
      <w:r>
        <w:rPr>
          <w:rFonts w:hint="eastAsia" w:ascii="Times New Roman" w:hAnsi="Times New Roman"/>
        </w:rPr>
        <w:t>黄山市昱建工程咨询有限责任公司</w:t>
      </w:r>
      <w:permEnd w:id="9"/>
    </w:p>
    <w:p>
      <w:pPr>
        <w:spacing w:line="400" w:lineRule="exact"/>
        <w:ind w:firstLine="420" w:firstLineChars="200"/>
        <w:rPr>
          <w:rFonts w:ascii="Times New Roman" w:hAnsi="Times New Roman"/>
        </w:rPr>
      </w:pPr>
      <w:r>
        <w:rPr>
          <w:rFonts w:ascii="Times New Roman" w:hAnsi="Times New Roman"/>
        </w:rPr>
        <w:t>1.4 采购项目资金落实情况：</w:t>
      </w:r>
      <w:permStart w:id="10" w:edGrp="everyone"/>
      <w:r>
        <w:rPr>
          <w:rFonts w:hint="eastAsia" w:ascii="Times New Roman" w:hAnsi="Times New Roman"/>
        </w:rPr>
        <w:t>自筹</w:t>
      </w:r>
      <w:permEnd w:id="10"/>
      <w:r>
        <w:rPr>
          <w:rFonts w:ascii="Times New Roman" w:hAnsi="Times New Roman"/>
        </w:rPr>
        <w:t>资金，已落实</w:t>
      </w:r>
    </w:p>
    <w:p>
      <w:pPr>
        <w:spacing w:line="400" w:lineRule="exact"/>
        <w:ind w:firstLine="420" w:firstLineChars="200"/>
        <w:rPr>
          <w:rFonts w:ascii="Times New Roman" w:hAnsi="Times New Roman"/>
        </w:rPr>
      </w:pPr>
      <w:r>
        <w:rPr>
          <w:rFonts w:ascii="Times New Roman" w:hAnsi="Times New Roman"/>
        </w:rPr>
        <w:t>1.5 采购项目概况：</w:t>
      </w:r>
      <w:permStart w:id="11" w:edGrp="everyone"/>
      <w:r>
        <w:rPr>
          <w:rFonts w:hint="eastAsia" w:ascii="Times New Roman" w:hAnsi="Times New Roman"/>
        </w:rPr>
        <w:t>黄山市屯溪区昱城产业投资控股有限公司财务报表审计遴选项目</w:t>
      </w:r>
      <w:permEnd w:id="11"/>
    </w:p>
    <w:p>
      <w:pPr>
        <w:pStyle w:val="6"/>
        <w:rPr>
          <w:rFonts w:ascii="Times New Roman" w:hAnsi="Times New Roman"/>
        </w:rPr>
      </w:pPr>
      <w:bookmarkStart w:id="10" w:name="_Toc81853723"/>
      <w:r>
        <w:rPr>
          <w:rFonts w:ascii="Times New Roman" w:hAnsi="Times New Roman"/>
        </w:rPr>
        <w:t>2. 采购范围及相关要求</w:t>
      </w:r>
      <w:bookmarkEnd w:id="10"/>
    </w:p>
    <w:p>
      <w:pPr>
        <w:spacing w:line="400" w:lineRule="exact"/>
        <w:ind w:firstLine="315" w:firstLineChars="150"/>
        <w:rPr>
          <w:rFonts w:ascii="Times New Roman" w:hAnsi="Times New Roman"/>
        </w:rPr>
      </w:pPr>
      <w:r>
        <w:rPr>
          <w:rFonts w:ascii="Times New Roman" w:hAnsi="Times New Roman"/>
        </w:rPr>
        <w:t>2.1 采购范围：</w:t>
      </w:r>
      <w:permStart w:id="12" w:edGrp="everyone"/>
      <w:r>
        <w:rPr>
          <w:rFonts w:hint="eastAsia" w:ascii="Times New Roman" w:hAnsi="Times New Roman"/>
        </w:rPr>
        <w:t>黄山市屯溪区昱城产业投资控股有限公司财务报表审计遴选项目</w:t>
      </w:r>
      <w:permEnd w:id="12"/>
    </w:p>
    <w:p>
      <w:pPr>
        <w:spacing w:line="400" w:lineRule="exact"/>
        <w:ind w:firstLine="315" w:firstLineChars="150"/>
        <w:rPr>
          <w:rFonts w:ascii="Times New Roman" w:hAnsi="Times New Roman"/>
        </w:rPr>
      </w:pPr>
      <w:r>
        <w:rPr>
          <w:rFonts w:ascii="Times New Roman" w:hAnsi="Times New Roman"/>
          <w:highlight w:val="yellow"/>
        </w:rPr>
        <w:t>2.2 服务期限：</w:t>
      </w:r>
      <w:permStart w:id="13" w:edGrp="everyone"/>
      <w:r>
        <w:rPr>
          <w:rFonts w:hint="eastAsia" w:ascii="Times New Roman" w:hAnsi="Times New Roman"/>
        </w:rPr>
        <w:t>接采购人通知10日内出具审计报告</w:t>
      </w:r>
      <w:permEnd w:id="13"/>
    </w:p>
    <w:p>
      <w:pPr>
        <w:spacing w:line="400" w:lineRule="exact"/>
        <w:ind w:firstLine="315" w:firstLineChars="150"/>
        <w:rPr>
          <w:rFonts w:ascii="Times New Roman" w:hAnsi="Times New Roman"/>
        </w:rPr>
      </w:pPr>
      <w:r>
        <w:rPr>
          <w:rFonts w:ascii="Times New Roman" w:hAnsi="Times New Roman"/>
        </w:rPr>
        <w:t>2.3 服务地点：采购人指定地点</w:t>
      </w:r>
    </w:p>
    <w:p>
      <w:pPr>
        <w:spacing w:line="400" w:lineRule="exact"/>
        <w:ind w:firstLine="315" w:firstLineChars="150"/>
        <w:rPr>
          <w:rFonts w:ascii="Times New Roman" w:hAnsi="Times New Roman"/>
        </w:rPr>
      </w:pPr>
      <w:r>
        <w:rPr>
          <w:rFonts w:ascii="Times New Roman" w:hAnsi="Times New Roman"/>
        </w:rPr>
        <w:t>2.4 质量要求或服务标准：详见采购需求</w:t>
      </w:r>
    </w:p>
    <w:p>
      <w:pPr>
        <w:pStyle w:val="6"/>
        <w:rPr>
          <w:rFonts w:ascii="Times New Roman" w:hAnsi="Times New Roman"/>
        </w:rPr>
      </w:pPr>
      <w:bookmarkStart w:id="11" w:name="_Toc81853724"/>
      <w:r>
        <w:rPr>
          <w:rFonts w:ascii="Times New Roman" w:hAnsi="Times New Roman"/>
        </w:rPr>
        <w:t>3. 供应商资格要求</w:t>
      </w:r>
      <w:bookmarkEnd w:id="11"/>
    </w:p>
    <w:p>
      <w:pPr>
        <w:spacing w:line="400" w:lineRule="exact"/>
        <w:ind w:firstLine="420" w:firstLineChars="200"/>
        <w:rPr>
          <w:rFonts w:ascii="Times New Roman" w:hAnsi="Times New Roman"/>
        </w:rPr>
      </w:pPr>
      <w:r>
        <w:rPr>
          <w:rFonts w:ascii="Times New Roman" w:hAnsi="Times New Roman"/>
        </w:rPr>
        <w:t>3.1供应商应依法设立且满足如下要求：</w:t>
      </w:r>
    </w:p>
    <w:p>
      <w:pPr>
        <w:spacing w:line="400" w:lineRule="exact"/>
        <w:ind w:firstLine="315" w:firstLineChars="150"/>
        <w:rPr>
          <w:rFonts w:ascii="Times New Roman" w:hAnsi="Times New Roman"/>
        </w:rPr>
      </w:pPr>
      <w:r>
        <w:rPr>
          <w:rFonts w:ascii="Times New Roman" w:hAnsi="Times New Roman"/>
        </w:rPr>
        <w:t>（1）资质要求：具有有效的营业执照；</w:t>
      </w:r>
      <w:r>
        <w:rPr>
          <w:rFonts w:hint="eastAsia" w:ascii="Times New Roman" w:hAnsi="Times New Roman"/>
        </w:rPr>
        <w:t>具有有效的会计师事务所执业证书；</w:t>
      </w:r>
    </w:p>
    <w:p>
      <w:pPr>
        <w:spacing w:line="400" w:lineRule="exact"/>
        <w:ind w:firstLine="315" w:firstLineChars="150"/>
        <w:rPr>
          <w:rFonts w:ascii="Times New Roman" w:hAnsi="Times New Roman"/>
        </w:rPr>
      </w:pPr>
      <w:bookmarkStart w:id="12" w:name="_Hlk179305299"/>
      <w:r>
        <w:rPr>
          <w:rFonts w:ascii="Times New Roman" w:hAnsi="Times New Roman"/>
        </w:rPr>
        <w:t>（2）业绩要求：</w:t>
      </w:r>
      <w:bookmarkEnd w:id="12"/>
      <w:permStart w:id="14" w:edGrp="everyone"/>
      <w:r>
        <w:rPr>
          <w:rFonts w:ascii="Times New Roman" w:hAnsi="Times New Roman"/>
        </w:rPr>
        <w:t>/</w:t>
      </w:r>
      <w:permEnd w:id="14"/>
    </w:p>
    <w:p>
      <w:pPr>
        <w:spacing w:line="400" w:lineRule="exact"/>
        <w:ind w:firstLine="315" w:firstLineChars="150"/>
        <w:rPr>
          <w:rFonts w:ascii="Times New Roman" w:hAnsi="Times New Roman"/>
          <w:szCs w:val="21"/>
        </w:rPr>
      </w:pPr>
      <w:r>
        <w:rPr>
          <w:rFonts w:ascii="Times New Roman" w:hAnsi="Times New Roman"/>
        </w:rPr>
        <w:t>（3）信誉要求：</w:t>
      </w:r>
      <w:r>
        <w:rPr>
          <w:rFonts w:ascii="Times New Roman" w:hAnsi="Times New Roman"/>
          <w:szCs w:val="21"/>
        </w:rPr>
        <w:t>供应商存在以下不良信用记录情形之一的，不得推荐为候选成交供应商，不得确定为成交供应商：</w:t>
      </w:r>
    </w:p>
    <w:p>
      <w:pPr>
        <w:spacing w:line="400" w:lineRule="exact"/>
        <w:ind w:firstLine="315" w:firstLineChars="150"/>
        <w:rPr>
          <w:rFonts w:ascii="Times New Roman" w:hAnsi="Times New Roman"/>
          <w:szCs w:val="21"/>
        </w:rPr>
      </w:pPr>
      <w:r>
        <w:rPr>
          <w:rFonts w:hint="eastAsia" w:ascii="宋体" w:hAnsi="宋体" w:cs="宋体"/>
          <w:szCs w:val="21"/>
        </w:rPr>
        <w:t>①</w:t>
      </w:r>
      <w:r>
        <w:rPr>
          <w:rFonts w:ascii="Times New Roman" w:hAnsi="Times New Roman"/>
          <w:szCs w:val="21"/>
        </w:rPr>
        <w:t>被人民法院列入失信被执行人名单的；</w:t>
      </w:r>
    </w:p>
    <w:p>
      <w:pPr>
        <w:spacing w:line="400" w:lineRule="exact"/>
        <w:ind w:firstLine="315" w:firstLineChars="150"/>
        <w:rPr>
          <w:rFonts w:ascii="Times New Roman" w:hAnsi="Times New Roman"/>
          <w:szCs w:val="21"/>
        </w:rPr>
      </w:pPr>
      <w:r>
        <w:rPr>
          <w:rFonts w:hint="eastAsia" w:ascii="宋体" w:hAnsi="宋体" w:cs="宋体"/>
          <w:szCs w:val="21"/>
        </w:rPr>
        <w:t>②</w:t>
      </w:r>
      <w:r>
        <w:rPr>
          <w:rFonts w:ascii="Times New Roman" w:hAnsi="Times New Roman"/>
          <w:szCs w:val="21"/>
        </w:rPr>
        <w:t>被税务机关列入重大税收违法案件当事人名单的；</w:t>
      </w:r>
    </w:p>
    <w:p>
      <w:pPr>
        <w:spacing w:line="400" w:lineRule="exact"/>
        <w:ind w:firstLine="315" w:firstLineChars="150"/>
        <w:rPr>
          <w:rFonts w:ascii="Times New Roman" w:hAnsi="Times New Roman"/>
          <w:szCs w:val="21"/>
        </w:rPr>
      </w:pPr>
      <w:r>
        <w:rPr>
          <w:rFonts w:hint="eastAsia" w:ascii="宋体" w:hAnsi="宋体" w:cs="宋体"/>
          <w:szCs w:val="21"/>
        </w:rPr>
        <w:t>③</w:t>
      </w:r>
      <w:r>
        <w:rPr>
          <w:rFonts w:ascii="Times New Roman" w:hAnsi="Times New Roman"/>
          <w:szCs w:val="21"/>
        </w:rPr>
        <w:t>被市场监督管理部门列入严重违法失信企业名单的。</w:t>
      </w:r>
    </w:p>
    <w:p>
      <w:pPr>
        <w:spacing w:line="400" w:lineRule="exact"/>
        <w:ind w:firstLine="420" w:firstLineChars="200"/>
        <w:rPr>
          <w:rFonts w:ascii="Times New Roman" w:hAnsi="Times New Roman"/>
          <w:szCs w:val="21"/>
        </w:rPr>
      </w:pPr>
      <w:r>
        <w:rPr>
          <w:rFonts w:ascii="Times New Roman" w:hAnsi="Times New Roman"/>
          <w:szCs w:val="21"/>
        </w:rPr>
        <w:t>3.2 供应商不得存在下列情形之一：</w:t>
      </w:r>
    </w:p>
    <w:p>
      <w:pPr>
        <w:spacing w:line="400" w:lineRule="exact"/>
        <w:ind w:firstLine="420" w:firstLineChars="200"/>
        <w:rPr>
          <w:rFonts w:ascii="Times New Roman" w:hAnsi="Times New Roman"/>
          <w:szCs w:val="21"/>
        </w:rPr>
      </w:pPr>
      <w:r>
        <w:rPr>
          <w:rFonts w:ascii="Times New Roman" w:hAnsi="Times New Roman"/>
          <w:szCs w:val="21"/>
        </w:rPr>
        <w:t>（1）处于被责令停产停业、暂扣或者吊销执照、暂扣或者吊销许可证、吊销资质证书状态；</w:t>
      </w:r>
    </w:p>
    <w:p>
      <w:pPr>
        <w:spacing w:line="400" w:lineRule="exact"/>
        <w:ind w:firstLine="420" w:firstLineChars="200"/>
        <w:rPr>
          <w:rFonts w:ascii="Times New Roman" w:hAnsi="Times New Roman"/>
          <w:szCs w:val="21"/>
        </w:rPr>
      </w:pPr>
      <w:r>
        <w:rPr>
          <w:rFonts w:ascii="Times New Roman" w:hAnsi="Times New Roman"/>
          <w:szCs w:val="21"/>
        </w:rPr>
        <w:t>（2）进入清算程序，或被宣告破产，或其他丧失履约能力的情形；</w:t>
      </w:r>
    </w:p>
    <w:p>
      <w:pPr>
        <w:spacing w:line="400" w:lineRule="exact"/>
        <w:ind w:firstLine="420" w:firstLineChars="200"/>
        <w:rPr>
          <w:rFonts w:ascii="Times New Roman" w:hAnsi="Times New Roman"/>
          <w:szCs w:val="21"/>
        </w:rPr>
      </w:pPr>
      <w:r>
        <w:rPr>
          <w:rFonts w:ascii="Times New Roman" w:hAnsi="Times New Roman"/>
          <w:szCs w:val="21"/>
        </w:rPr>
        <w:t>3.3 本次采购</w:t>
      </w:r>
      <w:permStart w:id="15" w:edGrp="everyone"/>
      <w:r>
        <w:rPr>
          <w:rFonts w:ascii="Times New Roman" w:hAnsi="Times New Roman"/>
          <w:szCs w:val="21"/>
        </w:rPr>
        <w:t>不接受</w:t>
      </w:r>
      <w:permEnd w:id="15"/>
      <w:r>
        <w:rPr>
          <w:rFonts w:ascii="Times New Roman" w:hAnsi="Times New Roman"/>
          <w:szCs w:val="21"/>
        </w:rPr>
        <w:t>联合体。</w:t>
      </w:r>
    </w:p>
    <w:p>
      <w:pPr>
        <w:pStyle w:val="6"/>
        <w:rPr>
          <w:rFonts w:ascii="Times New Roman" w:hAnsi="Times New Roman"/>
        </w:rPr>
      </w:pPr>
      <w:bookmarkStart w:id="13" w:name="_Toc81853725"/>
      <w:r>
        <w:rPr>
          <w:rFonts w:ascii="Times New Roman" w:hAnsi="Times New Roman"/>
        </w:rPr>
        <w:t>4. 采购文件的获取</w:t>
      </w:r>
      <w:bookmarkEnd w:id="13"/>
    </w:p>
    <w:p>
      <w:pPr>
        <w:tabs>
          <w:tab w:val="left" w:pos="360"/>
        </w:tabs>
        <w:spacing w:line="400" w:lineRule="exact"/>
        <w:ind w:firstLine="420" w:firstLineChars="200"/>
        <w:jc w:val="left"/>
        <w:rPr>
          <w:rFonts w:ascii="Times New Roman" w:hAnsi="Times New Roman"/>
          <w:szCs w:val="21"/>
        </w:rPr>
      </w:pPr>
      <w:bookmarkStart w:id="14" w:name="_Toc81853726"/>
      <w:r>
        <w:rPr>
          <w:rFonts w:ascii="Times New Roman" w:hAnsi="Times New Roman"/>
          <w:szCs w:val="21"/>
        </w:rPr>
        <w:t>4.1获取时间：</w:t>
      </w:r>
      <w:permStart w:id="16" w:edGrp="everyone"/>
      <w:r>
        <w:rPr>
          <w:rFonts w:ascii="Times New Roman" w:hAnsi="Times New Roman"/>
          <w:szCs w:val="21"/>
        </w:rPr>
        <w:t>2024</w:t>
      </w:r>
      <w:permEnd w:id="16"/>
      <w:r>
        <w:rPr>
          <w:rFonts w:ascii="Times New Roman" w:hAnsi="Times New Roman"/>
          <w:szCs w:val="21"/>
        </w:rPr>
        <w:t>年</w:t>
      </w:r>
      <w:permStart w:id="17" w:edGrp="everyone"/>
      <w:r>
        <w:rPr>
          <w:rFonts w:ascii="Times New Roman" w:hAnsi="Times New Roman"/>
          <w:szCs w:val="21"/>
        </w:rPr>
        <w:t>10</w:t>
      </w:r>
      <w:permEnd w:id="17"/>
      <w:r>
        <w:rPr>
          <w:rFonts w:ascii="Times New Roman" w:hAnsi="Times New Roman"/>
          <w:szCs w:val="21"/>
        </w:rPr>
        <w:t>月</w:t>
      </w:r>
      <w:permStart w:id="18" w:edGrp="everyone"/>
      <w:r>
        <w:rPr>
          <w:rFonts w:ascii="Times New Roman" w:hAnsi="Times New Roman"/>
          <w:szCs w:val="21"/>
        </w:rPr>
        <w:t xml:space="preserve">   </w:t>
      </w:r>
      <w:permEnd w:id="18"/>
      <w:r>
        <w:rPr>
          <w:rFonts w:ascii="Times New Roman" w:hAnsi="Times New Roman"/>
          <w:szCs w:val="21"/>
        </w:rPr>
        <w:t>日至</w:t>
      </w:r>
      <w:permStart w:id="19" w:edGrp="everyone"/>
      <w:r>
        <w:rPr>
          <w:rFonts w:ascii="Times New Roman" w:hAnsi="Times New Roman"/>
          <w:szCs w:val="21"/>
        </w:rPr>
        <w:t xml:space="preserve">   </w:t>
      </w:r>
      <w:permEnd w:id="19"/>
      <w:r>
        <w:rPr>
          <w:rFonts w:ascii="Times New Roman" w:hAnsi="Times New Roman"/>
          <w:szCs w:val="21"/>
        </w:rPr>
        <w:t>年</w:t>
      </w:r>
      <w:permStart w:id="20" w:edGrp="everyone"/>
      <w:r>
        <w:rPr>
          <w:rFonts w:ascii="Times New Roman" w:hAnsi="Times New Roman"/>
          <w:szCs w:val="21"/>
        </w:rPr>
        <w:t xml:space="preserve">   </w:t>
      </w:r>
      <w:permEnd w:id="20"/>
      <w:r>
        <w:rPr>
          <w:rFonts w:ascii="Times New Roman" w:hAnsi="Times New Roman"/>
          <w:szCs w:val="21"/>
        </w:rPr>
        <w:t>月</w:t>
      </w:r>
      <w:permStart w:id="21" w:edGrp="everyone"/>
      <w:r>
        <w:rPr>
          <w:rFonts w:ascii="Times New Roman" w:hAnsi="Times New Roman"/>
          <w:szCs w:val="21"/>
        </w:rPr>
        <w:t xml:space="preserve">   </w:t>
      </w:r>
      <w:permEnd w:id="21"/>
      <w:r>
        <w:rPr>
          <w:rFonts w:ascii="Times New Roman" w:hAnsi="Times New Roman"/>
          <w:szCs w:val="21"/>
        </w:rPr>
        <w:t>日</w:t>
      </w:r>
      <w:permStart w:id="22" w:edGrp="everyone"/>
      <w:r>
        <w:rPr>
          <w:rFonts w:ascii="Times New Roman" w:hAnsi="Times New Roman"/>
          <w:szCs w:val="21"/>
        </w:rPr>
        <w:t xml:space="preserve">   </w:t>
      </w:r>
      <w:permEnd w:id="22"/>
      <w:r>
        <w:rPr>
          <w:rFonts w:ascii="Times New Roman" w:hAnsi="Times New Roman"/>
          <w:szCs w:val="21"/>
        </w:rPr>
        <w:t>。</w:t>
      </w:r>
    </w:p>
    <w:p>
      <w:pPr>
        <w:tabs>
          <w:tab w:val="left" w:pos="360"/>
        </w:tabs>
        <w:spacing w:line="400" w:lineRule="exact"/>
        <w:ind w:firstLine="420" w:firstLineChars="200"/>
        <w:jc w:val="left"/>
        <w:rPr>
          <w:rFonts w:ascii="Times New Roman" w:hAnsi="Times New Roman"/>
          <w:szCs w:val="21"/>
        </w:rPr>
      </w:pPr>
      <w:r>
        <w:rPr>
          <w:rFonts w:ascii="Times New Roman" w:hAnsi="Times New Roman"/>
          <w:szCs w:val="21"/>
        </w:rPr>
        <w:t>4.2获取方式：通过“优质采云采购平台”(网址：</w:t>
      </w:r>
      <w:r>
        <w:fldChar w:fldCharType="begin"/>
      </w:r>
      <w:r>
        <w:instrText xml:space="preserve"> HYPERLINK "https://www.youzhicai.com/" </w:instrText>
      </w:r>
      <w:r>
        <w:fldChar w:fldCharType="separate"/>
      </w:r>
      <w:r>
        <w:rPr>
          <w:rStyle w:val="34"/>
          <w:rFonts w:ascii="Times New Roman" w:hAnsi="Times New Roman"/>
          <w:color w:val="auto"/>
          <w:szCs w:val="21"/>
          <w:u w:val="none"/>
        </w:rPr>
        <w:t>https://www.youzhicai.com/</w:t>
      </w:r>
      <w:r>
        <w:rPr>
          <w:rStyle w:val="34"/>
          <w:rFonts w:ascii="Times New Roman" w:hAnsi="Times New Roman"/>
          <w:color w:val="auto"/>
          <w:szCs w:val="21"/>
          <w:u w:val="none"/>
        </w:rPr>
        <w:fldChar w:fldCharType="end"/>
      </w:r>
      <w:r>
        <w:rPr>
          <w:rFonts w:ascii="Times New Roman" w:hAnsi="Times New Roman"/>
          <w:szCs w:val="21"/>
        </w:rPr>
        <w:t>)获取。</w:t>
      </w:r>
    </w:p>
    <w:p>
      <w:pPr>
        <w:pStyle w:val="6"/>
        <w:rPr>
          <w:rFonts w:ascii="Times New Roman" w:hAnsi="Times New Roman"/>
        </w:rPr>
      </w:pPr>
      <w:r>
        <w:rPr>
          <w:rFonts w:ascii="Times New Roman" w:hAnsi="Times New Roman"/>
        </w:rPr>
        <w:t>5. 响应文件的递交</w:t>
      </w:r>
      <w:bookmarkEnd w:id="14"/>
    </w:p>
    <w:p>
      <w:pPr>
        <w:spacing w:line="400" w:lineRule="exact"/>
        <w:ind w:firstLine="420" w:firstLineChars="200"/>
        <w:jc w:val="left"/>
        <w:rPr>
          <w:rFonts w:ascii="Times New Roman" w:hAnsi="Times New Roman"/>
          <w:szCs w:val="21"/>
        </w:rPr>
      </w:pPr>
      <w:r>
        <w:rPr>
          <w:rFonts w:ascii="Times New Roman" w:hAnsi="Times New Roman"/>
          <w:szCs w:val="21"/>
        </w:rPr>
        <w:t>响应文件递交的截止时间为</w:t>
      </w:r>
      <w:permStart w:id="23" w:edGrp="everyone"/>
      <w:r>
        <w:rPr>
          <w:rFonts w:ascii="Times New Roman" w:hAnsi="Times New Roman"/>
          <w:szCs w:val="21"/>
        </w:rPr>
        <w:t>2024</w:t>
      </w:r>
      <w:permEnd w:id="23"/>
      <w:r>
        <w:rPr>
          <w:rFonts w:ascii="Times New Roman" w:hAnsi="Times New Roman"/>
          <w:szCs w:val="21"/>
        </w:rPr>
        <w:t>年</w:t>
      </w:r>
      <w:permStart w:id="24" w:edGrp="everyone"/>
      <w:r>
        <w:rPr>
          <w:rFonts w:ascii="Times New Roman" w:hAnsi="Times New Roman"/>
          <w:szCs w:val="21"/>
        </w:rPr>
        <w:t xml:space="preserve">   </w:t>
      </w:r>
      <w:permEnd w:id="24"/>
      <w:r>
        <w:rPr>
          <w:rFonts w:ascii="Times New Roman" w:hAnsi="Times New Roman"/>
          <w:szCs w:val="21"/>
        </w:rPr>
        <w:t>月</w:t>
      </w:r>
      <w:permStart w:id="25" w:edGrp="everyone"/>
      <w:r>
        <w:rPr>
          <w:rFonts w:ascii="Times New Roman" w:hAnsi="Times New Roman"/>
          <w:szCs w:val="21"/>
        </w:rPr>
        <w:t xml:space="preserve">   </w:t>
      </w:r>
      <w:permEnd w:id="25"/>
      <w:r>
        <w:rPr>
          <w:rFonts w:ascii="Times New Roman" w:hAnsi="Times New Roman"/>
          <w:szCs w:val="21"/>
        </w:rPr>
        <w:t>日</w:t>
      </w:r>
      <w:permStart w:id="26" w:edGrp="everyone"/>
      <w:r>
        <w:rPr>
          <w:rFonts w:ascii="Times New Roman" w:hAnsi="Times New Roman"/>
          <w:szCs w:val="21"/>
        </w:rPr>
        <w:t xml:space="preserve">   </w:t>
      </w:r>
      <w:permEnd w:id="26"/>
      <w:r>
        <w:rPr>
          <w:rFonts w:ascii="Times New Roman" w:hAnsi="Times New Roman"/>
          <w:szCs w:val="21"/>
        </w:rPr>
        <w:t>，供应商应在截止时间前“优质采云采购平台”(网址：https://www.youzhicai.com/)递交电子响应文件。</w:t>
      </w:r>
    </w:p>
    <w:p>
      <w:pPr>
        <w:pStyle w:val="6"/>
        <w:rPr>
          <w:rFonts w:ascii="Times New Roman" w:hAnsi="Times New Roman"/>
        </w:rPr>
      </w:pPr>
      <w:bookmarkStart w:id="15" w:name="_Toc81853727"/>
      <w:r>
        <w:rPr>
          <w:rFonts w:ascii="Times New Roman" w:hAnsi="Times New Roman"/>
        </w:rPr>
        <w:t>6. 响应文件开启时间和地点</w:t>
      </w:r>
      <w:bookmarkEnd w:id="15"/>
    </w:p>
    <w:p>
      <w:pPr>
        <w:spacing w:line="400" w:lineRule="exact"/>
        <w:ind w:firstLine="420" w:firstLineChars="200"/>
        <w:jc w:val="left"/>
        <w:rPr>
          <w:rFonts w:ascii="Times New Roman" w:hAnsi="Times New Roman"/>
        </w:rPr>
      </w:pPr>
      <w:r>
        <w:rPr>
          <w:rFonts w:ascii="Times New Roman" w:hAnsi="Times New Roman"/>
        </w:rPr>
        <w:t>开启时间：同响应文件递交截止时间。</w:t>
      </w:r>
    </w:p>
    <w:p>
      <w:pPr>
        <w:spacing w:line="400" w:lineRule="exact"/>
        <w:ind w:firstLine="420" w:firstLineChars="200"/>
        <w:jc w:val="left"/>
        <w:rPr>
          <w:rFonts w:ascii="Times New Roman" w:hAnsi="Times New Roman"/>
          <w:szCs w:val="21"/>
        </w:rPr>
      </w:pPr>
      <w:r>
        <w:rPr>
          <w:rFonts w:ascii="Times New Roman" w:hAnsi="Times New Roman"/>
          <w:szCs w:val="21"/>
        </w:rPr>
        <w:t>开启地点：“优质采云采购平台”（网址：http://www.youzhicai.com/）</w:t>
      </w:r>
    </w:p>
    <w:p>
      <w:pPr>
        <w:pStyle w:val="6"/>
        <w:rPr>
          <w:rFonts w:ascii="Times New Roman" w:hAnsi="Times New Roman"/>
        </w:rPr>
      </w:pPr>
      <w:bookmarkStart w:id="16" w:name="_Toc81853728"/>
      <w:r>
        <w:rPr>
          <w:rFonts w:ascii="Times New Roman" w:hAnsi="Times New Roman"/>
        </w:rPr>
        <w:t>7. 确认</w:t>
      </w:r>
      <w:bookmarkEnd w:id="16"/>
    </w:p>
    <w:p>
      <w:pPr>
        <w:spacing w:line="400" w:lineRule="exact"/>
        <w:ind w:firstLine="420" w:firstLineChars="200"/>
        <w:rPr>
          <w:rFonts w:ascii="Times New Roman" w:hAnsi="Times New Roman"/>
          <w:szCs w:val="21"/>
        </w:rPr>
      </w:pPr>
      <w:r>
        <w:rPr>
          <w:rFonts w:ascii="Times New Roman" w:hAnsi="Times New Roman"/>
          <w:szCs w:val="21"/>
        </w:rPr>
        <w:t>你单位收到本邀请书后，请于</w:t>
      </w:r>
      <w:permStart w:id="27" w:edGrp="everyone"/>
      <w:r>
        <w:rPr>
          <w:rFonts w:ascii="Times New Roman" w:hAnsi="Times New Roman"/>
        </w:rPr>
        <w:t>2024</w:t>
      </w:r>
      <w:permEnd w:id="27"/>
      <w:r>
        <w:rPr>
          <w:rFonts w:ascii="Times New Roman" w:hAnsi="Times New Roman"/>
          <w:szCs w:val="21"/>
        </w:rPr>
        <w:t>年</w:t>
      </w:r>
      <w:permStart w:id="28" w:edGrp="everyone"/>
      <w:r>
        <w:rPr>
          <w:rFonts w:ascii="Times New Roman" w:hAnsi="Times New Roman"/>
        </w:rPr>
        <w:t xml:space="preserve">   </w:t>
      </w:r>
      <w:permEnd w:id="28"/>
      <w:r>
        <w:rPr>
          <w:rFonts w:ascii="Times New Roman" w:hAnsi="Times New Roman"/>
          <w:szCs w:val="21"/>
        </w:rPr>
        <w:t>月</w:t>
      </w:r>
      <w:permStart w:id="29" w:edGrp="everyone"/>
      <w:r>
        <w:rPr>
          <w:rFonts w:ascii="Times New Roman" w:hAnsi="Times New Roman"/>
        </w:rPr>
        <w:t xml:space="preserve">   </w:t>
      </w:r>
      <w:permEnd w:id="29"/>
      <w:r>
        <w:rPr>
          <w:rFonts w:ascii="Times New Roman" w:hAnsi="Times New Roman"/>
          <w:szCs w:val="21"/>
        </w:rPr>
        <w:t>日</w:t>
      </w:r>
      <w:permStart w:id="30" w:edGrp="everyone"/>
      <w:r>
        <w:rPr>
          <w:rFonts w:ascii="Times New Roman" w:hAnsi="Times New Roman"/>
        </w:rPr>
        <w:t xml:space="preserve">   </w:t>
      </w:r>
      <w:permEnd w:id="30"/>
      <w:r>
        <w:rPr>
          <w:rFonts w:ascii="Times New Roman" w:hAnsi="Times New Roman"/>
          <w:szCs w:val="21"/>
        </w:rPr>
        <w:t>前，以书面形式确认是否参加询比采购活动。在本邀请书规定的时间内未表示是否参加询比采购活动或明确表示不参加的，不得再参加询比采购活动。</w:t>
      </w:r>
    </w:p>
    <w:p>
      <w:pPr>
        <w:pStyle w:val="6"/>
        <w:rPr>
          <w:rFonts w:ascii="Times New Roman" w:hAnsi="Times New Roman"/>
        </w:rPr>
      </w:pPr>
      <w:bookmarkStart w:id="17" w:name="_Toc81853729"/>
      <w:bookmarkStart w:id="18" w:name="_Toc81472223"/>
      <w:r>
        <w:rPr>
          <w:rFonts w:ascii="Times New Roman" w:hAnsi="Times New Roman"/>
        </w:rPr>
        <w:t>8. 补充事宜</w:t>
      </w:r>
      <w:bookmarkEnd w:id="17"/>
      <w:bookmarkEnd w:id="18"/>
    </w:p>
    <w:p>
      <w:pPr>
        <w:widowControl/>
        <w:topLinePunct/>
        <w:spacing w:line="360" w:lineRule="auto"/>
        <w:ind w:firstLine="420" w:firstLineChars="200"/>
        <w:rPr>
          <w:rFonts w:ascii="Times New Roman" w:hAnsi="Times New Roman"/>
        </w:rPr>
      </w:pPr>
      <w:r>
        <w:rPr>
          <w:rFonts w:ascii="Times New Roman" w:hAnsi="Times New Roman"/>
        </w:rPr>
        <w:t>（1）潜在供应商须登陆“优质采云采购平台”（网址：https://www.youzhicai.com/，以下称“优质采平台”）参与本项目采购活动。首次登陆须办理注册手续，请务必选择注册为“投标人角色”类型。注册流程见优质采平台“用户注册”栏目，咨询电话：400-0099-555。因未及时办理注册手续影响参加采购活动的，责任自负。</w:t>
      </w:r>
    </w:p>
    <w:p>
      <w:pPr>
        <w:widowControl/>
        <w:topLinePunct/>
        <w:spacing w:line="360" w:lineRule="auto"/>
        <w:ind w:firstLine="420" w:firstLineChars="200"/>
        <w:rPr>
          <w:rFonts w:ascii="Times New Roman" w:hAnsi="Times New Roman"/>
        </w:rPr>
      </w:pPr>
      <w:r>
        <w:rPr>
          <w:rFonts w:ascii="Times New Roman" w:hAnsi="Times New Roman"/>
        </w:rPr>
        <w:t>（2）已注册的潜在供应商可登录优质采平台获取采购文件，本项目的采购文件及其他资料（含澄清、答疑及相关补充文件）通过优质采平台发布，采购人/代理机构不再另行书面通知，潜在供应商应及时关注、查阅优质采平台。因未及时查看导致不利后果的，责任自负。</w:t>
      </w:r>
    </w:p>
    <w:p>
      <w:pPr>
        <w:widowControl/>
        <w:topLinePunct/>
        <w:spacing w:line="360" w:lineRule="auto"/>
        <w:ind w:firstLine="420" w:firstLineChars="200"/>
        <w:rPr>
          <w:rFonts w:ascii="Times New Roman" w:hAnsi="Times New Roman"/>
        </w:rPr>
      </w:pPr>
      <w:r>
        <w:rPr>
          <w:rFonts w:ascii="Times New Roman" w:hAnsi="Times New Roman"/>
        </w:rPr>
        <w:t>（3）已注册的潜在供应商若注册信息发生变更（如：与初始注册信息不一致），应及时网上提交变更申请。因未及时变更导致不利后果的，责任自负。</w:t>
      </w:r>
    </w:p>
    <w:p>
      <w:pPr>
        <w:widowControl/>
        <w:topLinePunct/>
        <w:spacing w:line="360" w:lineRule="auto"/>
        <w:ind w:firstLine="420" w:firstLineChars="200"/>
        <w:jc w:val="left"/>
        <w:rPr>
          <w:rFonts w:ascii="Times New Roman" w:hAnsi="Times New Roman"/>
        </w:rPr>
      </w:pPr>
      <w:r>
        <w:rPr>
          <w:rFonts w:ascii="Times New Roman" w:hAnsi="Times New Roman"/>
        </w:rPr>
        <w:t>（4）本项目采用全流程电子化采购方式，潜在供应商须办理CA数字证书（以下简称CA），CA用于电子响应文件的签章及上传（上传响应文件需使用CA进行加密）；CA办理详见《关于优质采平台数字证书办理的须知》（http://www.youzhicai.com/nd/a_8f80a7ec-911f-4c4d-a123-f8849880f045.html）；咨询热线：400-0099-555。</w:t>
      </w:r>
    </w:p>
    <w:p>
      <w:pPr>
        <w:widowControl/>
        <w:topLinePunct/>
        <w:adjustRightInd w:val="0"/>
        <w:spacing w:line="360" w:lineRule="auto"/>
        <w:ind w:firstLine="420" w:firstLineChars="200"/>
        <w:rPr>
          <w:rFonts w:ascii="Times New Roman" w:hAnsi="Times New Roman"/>
        </w:rPr>
      </w:pPr>
      <w:r>
        <w:rPr>
          <w:rFonts w:ascii="Times New Roman" w:hAnsi="Times New Roman"/>
        </w:rPr>
        <w:t>（5）电子响应文件必须使用“优质采投标文件制作工具”制作生成并上传。下载地址：http://toolcdn.youzhicai.com/tools/BidderTools.zip，使用说明书及视频教程下载地址: http://file.youzhicai.com/files/BidderHelp.rar。</w:t>
      </w:r>
    </w:p>
    <w:p>
      <w:pPr>
        <w:pStyle w:val="6"/>
        <w:rPr>
          <w:rFonts w:ascii="Times New Roman" w:hAnsi="Times New Roman"/>
        </w:rPr>
      </w:pPr>
      <w:bookmarkStart w:id="19" w:name="_Toc81472225"/>
      <w:bookmarkStart w:id="20" w:name="_Toc81853731"/>
      <w:r>
        <w:rPr>
          <w:rFonts w:ascii="Times New Roman" w:hAnsi="Times New Roman"/>
        </w:rPr>
        <w:t>9. 联系方式</w:t>
      </w:r>
      <w:bookmarkEnd w:id="19"/>
      <w:bookmarkEnd w:id="20"/>
    </w:p>
    <w:p>
      <w:pPr>
        <w:widowControl/>
        <w:adjustRightInd w:val="0"/>
        <w:snapToGrid w:val="0"/>
        <w:spacing w:line="360" w:lineRule="auto"/>
        <w:ind w:firstLine="495" w:firstLineChars="236"/>
        <w:jc w:val="left"/>
        <w:rPr>
          <w:rFonts w:ascii="Times New Roman" w:hAnsi="Times New Roman"/>
        </w:rPr>
      </w:pPr>
      <w:r>
        <w:rPr>
          <w:rFonts w:ascii="Times New Roman" w:hAnsi="Times New Roman"/>
        </w:rPr>
        <w:t>1.采购人信息</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w:t>
      </w:r>
      <w:permStart w:id="31" w:edGrp="everyone"/>
      <w:r>
        <w:rPr>
          <w:rFonts w:hint="eastAsia" w:ascii="Times New Roman" w:hAnsi="Times New Roman"/>
          <w:szCs w:val="21"/>
        </w:rPr>
        <w:t>黄山市屯溪区昱城产业投资控股有限公司</w:t>
      </w:r>
      <w:permEnd w:id="31"/>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w:t>
      </w:r>
      <w:permStart w:id="32" w:edGrp="everyone"/>
      <w:r>
        <w:rPr>
          <w:rFonts w:hint="eastAsia" w:ascii="Times New Roman" w:hAnsi="Times New Roman"/>
          <w:szCs w:val="21"/>
        </w:rPr>
        <w:t>黄山市屯溪区洽阳路6号</w:t>
      </w:r>
      <w:permEnd w:id="32"/>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33" w:edGrp="everyone"/>
      <w:r>
        <w:rPr>
          <w:rFonts w:hint="eastAsia" w:ascii="Times New Roman" w:hAnsi="Times New Roman"/>
          <w:szCs w:val="21"/>
        </w:rPr>
        <w:t>蔡经理</w:t>
      </w:r>
      <w:permEnd w:id="33"/>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联系方式：</w:t>
      </w:r>
      <w:permStart w:id="34" w:edGrp="everyone"/>
      <w:r>
        <w:rPr>
          <w:rFonts w:ascii="Times New Roman" w:hAnsi="Times New Roman"/>
          <w:szCs w:val="21"/>
        </w:rPr>
        <w:t>15105597778</w:t>
      </w:r>
      <w:permEnd w:id="34"/>
    </w:p>
    <w:p>
      <w:pPr>
        <w:widowControl/>
        <w:adjustRightInd w:val="0"/>
        <w:snapToGrid w:val="0"/>
        <w:spacing w:line="360" w:lineRule="auto"/>
        <w:ind w:firstLine="495" w:firstLineChars="236"/>
        <w:jc w:val="left"/>
        <w:rPr>
          <w:rFonts w:ascii="Times New Roman" w:hAnsi="Times New Roman"/>
        </w:rPr>
      </w:pPr>
      <w:r>
        <w:rPr>
          <w:rFonts w:ascii="Times New Roman" w:hAnsi="Times New Roman"/>
        </w:rPr>
        <w:t>2.采购代理机构信息</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称：黄山市昱建工程咨询有限责任公司</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址：黄山市屯溪区洽阳路6号</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35" w:edGrp="everyone"/>
      <w:r>
        <w:rPr>
          <w:rFonts w:hint="eastAsia" w:ascii="Times New Roman" w:hAnsi="Times New Roman"/>
          <w:szCs w:val="21"/>
        </w:rPr>
        <w:t>胡工</w:t>
      </w:r>
      <w:permEnd w:id="35"/>
    </w:p>
    <w:p>
      <w:pPr>
        <w:widowControl/>
        <w:adjustRightInd w:val="0"/>
        <w:snapToGrid w:val="0"/>
        <w:spacing w:line="360" w:lineRule="auto"/>
        <w:ind w:firstLine="495" w:firstLineChars="236"/>
        <w:jc w:val="left"/>
        <w:rPr>
          <w:rFonts w:ascii="Times New Roman" w:hAnsi="Times New Roman"/>
        </w:rPr>
      </w:pPr>
      <w:r>
        <w:rPr>
          <w:rFonts w:ascii="Times New Roman" w:hAnsi="Times New Roman"/>
          <w:szCs w:val="21"/>
        </w:rPr>
        <w:t>联系方式：</w:t>
      </w:r>
      <w:permStart w:id="36" w:edGrp="everyone"/>
      <w:r>
        <w:rPr>
          <w:rFonts w:ascii="Times New Roman" w:hAnsi="Times New Roman"/>
          <w:szCs w:val="21"/>
        </w:rPr>
        <w:t>187 5692 7313</w:t>
      </w:r>
      <w:permEnd w:id="36"/>
    </w:p>
    <w:bookmarkEnd w:id="8"/>
    <w:p>
      <w:pPr>
        <w:keepNext/>
        <w:keepLines/>
        <w:spacing w:line="413" w:lineRule="auto"/>
        <w:rPr>
          <w:rFonts w:ascii="Times New Roman" w:hAnsi="Times New Roman"/>
        </w:rPr>
      </w:pPr>
      <w:bookmarkStart w:id="21" w:name="_Toc81853732"/>
      <w:bookmarkStart w:id="22" w:name="_Toc501460647"/>
      <w:bookmarkStart w:id="23" w:name="_Toc361508575"/>
      <w:bookmarkStart w:id="24" w:name="_Toc384308200"/>
      <w:r>
        <w:rPr>
          <w:rFonts w:ascii="Times New Roman" w:hAnsi="Times New Roman"/>
        </w:rPr>
        <w:br w:type="page"/>
      </w:r>
    </w:p>
    <w:p>
      <w:pPr>
        <w:pStyle w:val="6"/>
        <w:rPr>
          <w:rFonts w:ascii="Times New Roman" w:hAnsi="Times New Roman"/>
        </w:rPr>
      </w:pPr>
      <w:r>
        <w:rPr>
          <w:rFonts w:ascii="Times New Roman" w:hAnsi="Times New Roman"/>
        </w:rPr>
        <w:t>附件：确认通知</w:t>
      </w:r>
      <w:bookmarkEnd w:id="21"/>
      <w:bookmarkEnd w:id="22"/>
    </w:p>
    <w:p>
      <w:pPr>
        <w:spacing w:line="400" w:lineRule="exact"/>
        <w:rPr>
          <w:rFonts w:ascii="Times New Roman" w:hAnsi="Times New Roman"/>
        </w:rPr>
      </w:pPr>
    </w:p>
    <w:p>
      <w:pPr>
        <w:spacing w:line="400" w:lineRule="exact"/>
        <w:jc w:val="center"/>
        <w:rPr>
          <w:rFonts w:ascii="Times New Roman" w:hAnsi="Times New Roman" w:eastAsia="黑体"/>
          <w:sz w:val="28"/>
        </w:rPr>
      </w:pPr>
      <w:r>
        <w:rPr>
          <w:rFonts w:ascii="Times New Roman" w:hAnsi="Times New Roman" w:eastAsia="黑体"/>
          <w:sz w:val="28"/>
        </w:rPr>
        <w:t>确认通知</w:t>
      </w:r>
    </w:p>
    <w:p>
      <w:pPr>
        <w:spacing w:line="400" w:lineRule="exact"/>
        <w:rPr>
          <w:rFonts w:ascii="Times New Roman" w:hAnsi="Times New Roman"/>
        </w:rPr>
      </w:pPr>
    </w:p>
    <w:p>
      <w:pPr>
        <w:spacing w:line="400" w:lineRule="exact"/>
        <w:rPr>
          <w:rFonts w:ascii="Times New Roman" w:hAnsi="Times New Roman"/>
        </w:rPr>
      </w:pPr>
    </w:p>
    <w:p>
      <w:pPr>
        <w:spacing w:line="440" w:lineRule="exact"/>
        <w:rPr>
          <w:rFonts w:ascii="Times New Roman" w:hAnsi="Times New Roman"/>
        </w:rPr>
      </w:pPr>
      <w:r>
        <w:rPr>
          <w:rFonts w:ascii="Times New Roman" w:hAnsi="Times New Roman"/>
          <w:u w:val="single"/>
        </w:rPr>
        <w:t xml:space="preserve">                  （采购人或采购代理机构名称）</w:t>
      </w:r>
      <w:r>
        <w:rPr>
          <w:rFonts w:ascii="Times New Roman" w:hAnsi="Times New Roman"/>
        </w:rPr>
        <w:t>：</w:t>
      </w:r>
    </w:p>
    <w:p>
      <w:pPr>
        <w:spacing w:line="440" w:lineRule="exact"/>
        <w:rPr>
          <w:rFonts w:ascii="Times New Roman" w:hAnsi="Times New Roman"/>
        </w:rPr>
      </w:pPr>
    </w:p>
    <w:p>
      <w:pPr>
        <w:spacing w:line="440" w:lineRule="exact"/>
        <w:ind w:firstLine="420" w:firstLineChars="200"/>
        <w:jc w:val="left"/>
        <w:rPr>
          <w:rFonts w:ascii="Times New Roman" w:hAnsi="Times New Roman"/>
        </w:rPr>
      </w:pPr>
      <w:r>
        <w:rPr>
          <w:rFonts w:ascii="Times New Roman" w:hAnsi="Times New Roman"/>
        </w:rPr>
        <w:t>我方已于</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日收到你方</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日发出的</w:t>
      </w:r>
      <w:r>
        <w:rPr>
          <w:rFonts w:ascii="Times New Roman" w:hAnsi="Times New Roman" w:eastAsia="黑体"/>
          <w:sz w:val="28"/>
          <w:szCs w:val="28"/>
          <w:u w:val="single"/>
        </w:rPr>
        <w:t xml:space="preserve">   </w:t>
      </w:r>
      <w:r>
        <w:rPr>
          <w:rFonts w:ascii="Times New Roman" w:hAnsi="Times New Roman"/>
          <w:szCs w:val="21"/>
          <w:u w:val="single"/>
        </w:rPr>
        <w:t>（项目名称）</w:t>
      </w:r>
      <w:r>
        <w:rPr>
          <w:rFonts w:ascii="Times New Roman" w:hAnsi="Times New Roman"/>
          <w:szCs w:val="21"/>
        </w:rPr>
        <w:t>询比采购邀请书</w:t>
      </w:r>
      <w:r>
        <w:rPr>
          <w:rFonts w:ascii="Times New Roman" w:hAnsi="Times New Roman"/>
        </w:rPr>
        <w:t>，并确认</w:t>
      </w:r>
      <w:r>
        <w:rPr>
          <w:rFonts w:ascii="Times New Roman" w:hAnsi="Times New Roman"/>
          <w:u w:val="single"/>
        </w:rPr>
        <w:t xml:space="preserve">   （参加/不参加）</w:t>
      </w:r>
      <w:r>
        <w:rPr>
          <w:rFonts w:ascii="Times New Roman" w:hAnsi="Times New Roman"/>
          <w:szCs w:val="21"/>
        </w:rPr>
        <w:t>询比采购活动</w:t>
      </w:r>
      <w:r>
        <w:rPr>
          <w:rFonts w:ascii="Times New Roman" w:hAnsi="Times New Roman"/>
        </w:rPr>
        <w:t>。</w:t>
      </w:r>
    </w:p>
    <w:p>
      <w:pPr>
        <w:spacing w:line="440" w:lineRule="exact"/>
        <w:ind w:firstLine="420" w:firstLineChars="200"/>
        <w:rPr>
          <w:rFonts w:ascii="Times New Roman" w:hAnsi="Times New Roman"/>
        </w:rPr>
      </w:pPr>
      <w:r>
        <w:rPr>
          <w:rFonts w:ascii="Times New Roman" w:hAnsi="Times New Roman"/>
        </w:rPr>
        <w:t>特此确认。</w:t>
      </w:r>
    </w:p>
    <w:p>
      <w:pPr>
        <w:spacing w:line="440" w:lineRule="exact"/>
        <w:rPr>
          <w:rFonts w:ascii="Times New Roman" w:hAnsi="Times New Roman"/>
        </w:rPr>
      </w:pPr>
    </w:p>
    <w:p>
      <w:pPr>
        <w:spacing w:line="360" w:lineRule="auto"/>
        <w:ind w:firstLine="2940" w:firstLineChars="1400"/>
        <w:rPr>
          <w:rFonts w:ascii="Times New Roman" w:hAnsi="Times New Roman"/>
        </w:rPr>
      </w:pPr>
      <w:r>
        <w:rPr>
          <w:rFonts w:ascii="Times New Roman" w:hAnsi="Times New Roman"/>
        </w:rPr>
        <w:t>被邀请单位名称：</w:t>
      </w:r>
      <w:r>
        <w:rPr>
          <w:rFonts w:ascii="Times New Roman" w:hAnsi="Times New Roman" w:eastAsia="黑体"/>
          <w:sz w:val="28"/>
          <w:u w:val="single"/>
        </w:rPr>
        <w:t xml:space="preserve">                  </w:t>
      </w:r>
      <w:r>
        <w:rPr>
          <w:rFonts w:ascii="Times New Roman" w:hAnsi="Times New Roman"/>
          <w:u w:val="single"/>
        </w:rPr>
        <w:t>（盖单位章）</w:t>
      </w:r>
    </w:p>
    <w:p>
      <w:pPr>
        <w:pStyle w:val="13"/>
        <w:ind w:firstLine="3150" w:firstLineChars="1500"/>
        <w:rPr>
          <w:rFonts w:ascii="Times New Roman" w:hAnsi="Times New Roman"/>
          <w:sz w:val="21"/>
        </w:rPr>
      </w:pPr>
      <w:r>
        <w:rPr>
          <w:rFonts w:ascii="Times New Roman" w:hAnsi="Times New Roman"/>
          <w:sz w:val="21"/>
        </w:rPr>
        <w:t>联系人：</w:t>
      </w:r>
      <w:r>
        <w:rPr>
          <w:rFonts w:ascii="Times New Roman" w:hAnsi="Times New Roman"/>
          <w:u w:val="single"/>
        </w:rPr>
        <w:t xml:space="preserve">          </w:t>
      </w:r>
      <w:r>
        <w:rPr>
          <w:rFonts w:ascii="Times New Roman" w:hAnsi="Times New Roman"/>
          <w:sz w:val="21"/>
        </w:rPr>
        <w:t xml:space="preserve">  联系电话：</w:t>
      </w:r>
      <w:r>
        <w:rPr>
          <w:rFonts w:ascii="Times New Roman" w:hAnsi="Times New Roman"/>
          <w:u w:val="single"/>
        </w:rPr>
        <w:t xml:space="preserve">               </w:t>
      </w:r>
    </w:p>
    <w:p>
      <w:pPr>
        <w:spacing w:line="360" w:lineRule="auto"/>
        <w:ind w:right="840" w:firstLine="525" w:firstLineChars="250"/>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bookmarkEnd w:id="23"/>
    <w:bookmarkEnd w:id="24"/>
    <w:p>
      <w:pPr>
        <w:widowControl/>
        <w:spacing w:line="360" w:lineRule="auto"/>
        <w:jc w:val="center"/>
        <w:rPr>
          <w:rFonts w:ascii="Times New Roman" w:hAnsi="Times New Roman"/>
        </w:rPr>
      </w:pPr>
      <w:bookmarkStart w:id="25" w:name="_Toc300834943"/>
      <w:bookmarkEnd w:id="25"/>
      <w:bookmarkStart w:id="26" w:name="_Toc152045525"/>
      <w:bookmarkEnd w:id="26"/>
      <w:bookmarkStart w:id="27" w:name="_Toc361508580"/>
      <w:bookmarkEnd w:id="27"/>
      <w:bookmarkStart w:id="28" w:name="_Toc144974491"/>
      <w:bookmarkEnd w:id="28"/>
      <w:bookmarkStart w:id="29" w:name="_Toc144974493"/>
      <w:bookmarkEnd w:id="29"/>
      <w:bookmarkStart w:id="30" w:name="_Toc247513946"/>
      <w:bookmarkEnd w:id="30"/>
      <w:bookmarkStart w:id="31" w:name="_Toc369531511"/>
      <w:bookmarkEnd w:id="31"/>
      <w:bookmarkStart w:id="32" w:name="_Toc384308205"/>
      <w:bookmarkEnd w:id="32"/>
      <w:bookmarkStart w:id="33" w:name="_Toc152045523"/>
      <w:bookmarkEnd w:id="33"/>
      <w:bookmarkStart w:id="34" w:name="_Toc14865"/>
      <w:bookmarkEnd w:id="34"/>
      <w:bookmarkStart w:id="35" w:name="_Toc247513948"/>
      <w:bookmarkEnd w:id="35"/>
      <w:bookmarkStart w:id="36" w:name="_Toc384308203"/>
      <w:bookmarkEnd w:id="36"/>
      <w:bookmarkStart w:id="37" w:name="_Toc300834941"/>
      <w:bookmarkEnd w:id="37"/>
      <w:bookmarkStart w:id="38" w:name="_Toc369531509"/>
      <w:bookmarkEnd w:id="38"/>
      <w:bookmarkStart w:id="39" w:name="_Toc152042299"/>
      <w:bookmarkEnd w:id="39"/>
      <w:bookmarkStart w:id="40" w:name="_Toc247527549"/>
      <w:bookmarkEnd w:id="40"/>
      <w:bookmarkStart w:id="41" w:name="_Toc361508578"/>
      <w:bookmarkEnd w:id="41"/>
      <w:bookmarkStart w:id="42" w:name="_Toc19794"/>
      <w:bookmarkEnd w:id="42"/>
      <w:bookmarkStart w:id="43" w:name="_Toc152042301"/>
      <w:bookmarkEnd w:id="43"/>
      <w:bookmarkStart w:id="44" w:name="_Toc352691469"/>
      <w:bookmarkEnd w:id="44"/>
      <w:bookmarkStart w:id="45" w:name="_Toc352691467"/>
      <w:bookmarkEnd w:id="45"/>
      <w:bookmarkStart w:id="46" w:name="_Toc247527547"/>
      <w:bookmarkEnd w:id="46"/>
      <w:r>
        <w:rPr>
          <w:rFonts w:ascii="Times New Roman" w:hAnsi="Times New Roman"/>
        </w:rPr>
        <w:br w:type="page"/>
      </w:r>
      <w:bookmarkStart w:id="47" w:name="_Toc501460648"/>
    </w:p>
    <w:p>
      <w:pPr>
        <w:pStyle w:val="5"/>
        <w:rPr>
          <w:color w:val="auto"/>
        </w:rPr>
      </w:pPr>
      <w:bookmarkStart w:id="48" w:name="_Toc84601117"/>
      <w:bookmarkStart w:id="49" w:name="_Toc81853733"/>
      <w:r>
        <w:rPr>
          <w:color w:val="auto"/>
        </w:rPr>
        <w:t>第二章  供应商须知</w:t>
      </w:r>
      <w:bookmarkEnd w:id="47"/>
      <w:bookmarkEnd w:id="48"/>
      <w:bookmarkEnd w:id="49"/>
    </w:p>
    <w:p>
      <w:pPr>
        <w:pStyle w:val="6"/>
        <w:jc w:val="center"/>
        <w:rPr>
          <w:rFonts w:ascii="Times New Roman" w:hAnsi="Times New Roman"/>
        </w:rPr>
      </w:pPr>
      <w:bookmarkStart w:id="50" w:name="_Toc81853734"/>
      <w:bookmarkStart w:id="51" w:name="_Toc144974496"/>
      <w:bookmarkStart w:id="52" w:name="_Toc179632545"/>
      <w:bookmarkStart w:id="53" w:name="_Toc247085688"/>
      <w:bookmarkStart w:id="54" w:name="_Toc152042304"/>
      <w:bookmarkStart w:id="55" w:name="_Toc246996917"/>
      <w:bookmarkStart w:id="56" w:name="_Toc296602419"/>
      <w:bookmarkStart w:id="57" w:name="_Toc152045528"/>
      <w:bookmarkStart w:id="58" w:name="_Toc246996174"/>
      <w:r>
        <w:rPr>
          <w:rFonts w:ascii="Times New Roman" w:hAnsi="Times New Roman"/>
        </w:rPr>
        <w:t>供应商须知前附表</w:t>
      </w:r>
      <w:bookmarkEnd w:id="50"/>
      <w:bookmarkEnd w:id="51"/>
      <w:bookmarkEnd w:id="52"/>
      <w:bookmarkEnd w:id="53"/>
      <w:bookmarkEnd w:id="54"/>
      <w:bookmarkEnd w:id="55"/>
      <w:bookmarkEnd w:id="56"/>
      <w:bookmarkEnd w:id="57"/>
      <w:bookmarkEnd w:id="58"/>
    </w:p>
    <w:tbl>
      <w:tblPr>
        <w:tblStyle w:val="30"/>
        <w:tblW w:w="9180" w:type="dxa"/>
        <w:tblInd w:w="-113" w:type="dxa"/>
        <w:tblLayout w:type="fixed"/>
        <w:tblCellMar>
          <w:top w:w="0" w:type="dxa"/>
          <w:left w:w="108" w:type="dxa"/>
          <w:bottom w:w="0" w:type="dxa"/>
          <w:right w:w="108" w:type="dxa"/>
        </w:tblCellMar>
      </w:tblPr>
      <w:tblGrid>
        <w:gridCol w:w="1008"/>
        <w:gridCol w:w="3211"/>
        <w:gridCol w:w="4961"/>
      </w:tblGrid>
      <w:tr>
        <w:tblPrEx>
          <w:tblCellMar>
            <w:top w:w="0" w:type="dxa"/>
            <w:left w:w="108" w:type="dxa"/>
            <w:bottom w:w="0" w:type="dxa"/>
            <w:right w:w="108" w:type="dxa"/>
          </w:tblCellMar>
        </w:tblPrEx>
        <w:trPr>
          <w:trHeight w:val="567" w:hRule="atLeast"/>
          <w:tblHeader/>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条款号</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  款  名  称</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编  列  内  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1.7.1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踏勘现场</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7"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不组织</w:t>
            </w:r>
          </w:p>
          <w:permEnd w:id="37"/>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组织，踏勘时间：</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 xml:space="preserve">        踏勘集中地点：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询比采购预备会</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8"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不召开</w:t>
            </w:r>
          </w:p>
          <w:permEnd w:id="38"/>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召开，召开时间：</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 xml:space="preserve">       召开地点：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分包</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9" w:edGrp="everyone"/>
            <w:r>
              <w:rPr>
                <w:rFonts w:ascii="Times New Roman" w:hAnsi="Times New Roman" w:eastAsiaTheme="minorEastAsia"/>
                <w:sz w:val="21"/>
                <w:szCs w:val="21"/>
              </w:rPr>
              <w:t>不允许</w:t>
            </w:r>
            <w:permEnd w:id="39"/>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对非关键条款的偏差</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允许偏差的范围：/</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允许偏差的项数：/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成交供应商数量及成交份额</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40"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一家</w:t>
            </w:r>
          </w:p>
          <w:permEnd w:id="40"/>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00A3"/>
            </w:r>
            <w:r>
              <w:rPr>
                <w:rFonts w:ascii="Times New Roman" w:hAnsi="Times New Roman" w:eastAsiaTheme="minorEastAsia"/>
                <w:sz w:val="21"/>
                <w:szCs w:val="21"/>
              </w:rPr>
              <w:t xml:space="preserve">  家，成交份额：第一名：      ；第二名：     ；第三名：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2.1（7）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构成采购文件的其他资料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ermStart w:id="41" w:edGrp="everyone"/>
            <w:r>
              <w:rPr>
                <w:rFonts w:ascii="Times New Roman" w:hAnsi="Times New Roman" w:eastAsiaTheme="minorEastAsia"/>
                <w:szCs w:val="21"/>
              </w:rPr>
              <w:t>图纸、前期资料、技术资料等</w:t>
            </w:r>
            <w:permEnd w:id="41"/>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供应商要求澄清采购文件的时间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截止时间：</w:t>
            </w:r>
            <w:permStart w:id="42" w:edGrp="everyone"/>
            <w:r>
              <w:rPr>
                <w:rFonts w:ascii="Times New Roman" w:hAnsi="Times New Roman" w:eastAsiaTheme="minorEastAsia"/>
                <w:szCs w:val="21"/>
              </w:rPr>
              <w:t>投标截止时间10日前</w:t>
            </w:r>
            <w:permEnd w:id="42"/>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供应商确认收到采购</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文件补充文件</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在优质采电子交易平台发布，供应商应主动上网查询，无需供应商书面确认。供应商未及时关注相关信息的，其责任自负。</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3.1.1（9）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构成响应文件的其他资料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采购标的数量增减幅度</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采购标的数量增减幅度：/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最高限价或其计算方法</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无</w:t>
            </w:r>
          </w:p>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有，最高限价或其计算方法：</w:t>
            </w:r>
            <w:permStart w:id="43" w:edGrp="everyone"/>
            <w:r>
              <w:rPr>
                <w:rFonts w:ascii="Times New Roman" w:hAnsi="Times New Roman" w:eastAsiaTheme="minorEastAsia"/>
                <w:szCs w:val="21"/>
              </w:rPr>
              <w:t>300000.00</w:t>
            </w:r>
            <w:r>
              <w:rPr>
                <w:rFonts w:hint="eastAsia" w:ascii="Times New Roman" w:hAnsi="Times New Roman" w:eastAsiaTheme="minorEastAsia"/>
                <w:szCs w:val="21"/>
              </w:rPr>
              <w:t>元</w:t>
            </w:r>
            <w:permEnd w:id="43"/>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报价的其他要求</w:t>
            </w:r>
          </w:p>
        </w:tc>
        <w:tc>
          <w:tcPr>
            <w:tcW w:w="4961" w:type="dxa"/>
            <w:tcBorders>
              <w:top w:val="single" w:color="auto" w:sz="4" w:space="0"/>
              <w:left w:val="single" w:color="auto" w:sz="4" w:space="0"/>
              <w:bottom w:val="single" w:color="auto" w:sz="4" w:space="0"/>
              <w:right w:val="single" w:color="auto" w:sz="4" w:space="0"/>
            </w:tcBorders>
            <w:vAlign w:val="center"/>
          </w:tcPr>
          <w:p>
            <w:pPr>
              <w:pStyle w:val="57"/>
              <w:snapToGrid w:val="0"/>
              <w:spacing w:line="360" w:lineRule="atLeast"/>
              <w:rPr>
                <w:rFonts w:ascii="Times New Roman" w:eastAsiaTheme="minorEastAsia"/>
                <w:b w:val="0"/>
                <w:color w:val="auto"/>
                <w:szCs w:val="21"/>
              </w:rPr>
            </w:pPr>
            <w:r>
              <w:rPr>
                <w:rFonts w:ascii="Times New Roman" w:eastAsiaTheme="minorEastAsia"/>
                <w:b w:val="0"/>
                <w:color w:val="auto"/>
                <w:szCs w:val="21"/>
              </w:rPr>
              <w:t>□除采购文件另有规定外，成交单价在合同执行过程中固定不变,不得以任何理由予以变更。</w:t>
            </w:r>
          </w:p>
          <w:p>
            <w:pPr>
              <w:pStyle w:val="57"/>
              <w:snapToGrid w:val="0"/>
              <w:spacing w:line="360" w:lineRule="atLeast"/>
              <w:rPr>
                <w:rFonts w:ascii="Times New Roman" w:eastAsiaTheme="minorEastAsia"/>
                <w:b w:val="0"/>
                <w:color w:val="auto"/>
                <w:szCs w:val="21"/>
              </w:rPr>
            </w:pPr>
            <w:r>
              <w:rPr>
                <w:rFonts w:ascii="Times New Roman" w:eastAsiaTheme="minorEastAsia"/>
                <w:b w:val="0"/>
                <w:color w:val="auto"/>
                <w:szCs w:val="21"/>
              </w:rPr>
              <w:sym w:font="Wingdings 2" w:char="F052"/>
            </w:r>
            <w:r>
              <w:rPr>
                <w:rFonts w:ascii="Times New Roman" w:eastAsiaTheme="minorEastAsia"/>
                <w:b w:val="0"/>
                <w:color w:val="auto"/>
                <w:szCs w:val="21"/>
              </w:rPr>
              <w:t>除采购文件另有规定外，成交总价在合同执行过程中固定不变,不得以任何理由予以变更。</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3.3.1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响应文件有效期</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u w:val="single"/>
              </w:rPr>
              <w:t>90日历天</w:t>
            </w:r>
            <w:r>
              <w:rPr>
                <w:rFonts w:ascii="Times New Roman" w:hAnsi="Times New Roman" w:eastAsiaTheme="minorEastAsia"/>
                <w:szCs w:val="21"/>
              </w:rPr>
              <w:t>（从提交响应文件截止之日算起）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响应保证金</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44" w:edGrp="everyone"/>
            <w:r>
              <w:rPr>
                <w:rFonts w:hint="eastAsia" w:hAnsi="宋体"/>
                <w:sz w:val="21"/>
                <w:szCs w:val="21"/>
              </w:rPr>
              <w:sym w:font="Wingdings 2" w:char="F052"/>
            </w:r>
            <w:r>
              <w:rPr>
                <w:rFonts w:ascii="Times New Roman" w:hAnsi="Times New Roman" w:eastAsiaTheme="minorEastAsia"/>
                <w:sz w:val="21"/>
                <w:szCs w:val="21"/>
              </w:rPr>
              <w:t>不要求递交</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00A3"/>
            </w:r>
            <w:r>
              <w:rPr>
                <w:rFonts w:ascii="Times New Roman" w:hAnsi="Times New Roman" w:eastAsiaTheme="minorEastAsia"/>
                <w:sz w:val="21"/>
                <w:szCs w:val="21"/>
              </w:rPr>
              <w:t>要求递交</w:t>
            </w:r>
          </w:p>
          <w:permEnd w:id="44"/>
          <w:p>
            <w:pPr>
              <w:pStyle w:val="12"/>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保证金的金额：</w:t>
            </w:r>
            <w:permStart w:id="45" w:edGrp="everyone"/>
            <w:r>
              <w:rPr>
                <w:rFonts w:hint="eastAsia" w:ascii="Times New Roman" w:hAnsi="Times New Roman" w:eastAsiaTheme="minorEastAsia"/>
                <w:sz w:val="21"/>
                <w:szCs w:val="21"/>
              </w:rPr>
              <w:t xml:space="preserve"> </w:t>
            </w:r>
            <w:r>
              <w:rPr>
                <w:rFonts w:ascii="Times New Roman" w:hAnsi="Times New Roman" w:eastAsiaTheme="minorEastAsia"/>
                <w:sz w:val="21"/>
                <w:szCs w:val="21"/>
              </w:rPr>
              <w:t xml:space="preserve">  </w:t>
            </w:r>
            <w:permEnd w:id="45"/>
          </w:p>
          <w:p>
            <w:pPr>
              <w:kinsoku w:val="0"/>
              <w:overflowPunct w:val="0"/>
              <w:autoSpaceDE w:val="0"/>
              <w:autoSpaceDN w:val="0"/>
              <w:adjustRightInd w:val="0"/>
              <w:snapToGrid w:val="0"/>
              <w:spacing w:line="360" w:lineRule="atLeast"/>
              <w:ind w:left="2205" w:leftChars="400" w:hanging="1365" w:hangingChars="650"/>
              <w:rPr>
                <w:rFonts w:ascii="Times New Roman" w:hAnsi="Times New Roman" w:eastAsiaTheme="minorEastAsia"/>
                <w:szCs w:val="21"/>
              </w:rPr>
            </w:pPr>
            <w:r>
              <w:rPr>
                <w:rFonts w:ascii="Times New Roman" w:hAnsi="Times New Roman" w:eastAsiaTheme="minorEastAsia"/>
                <w:szCs w:val="21"/>
              </w:rPr>
              <w:t>保证金的形式：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hint="eastAsia" w:ascii="宋体" w:hAnsi="宋体"/>
                <w:szCs w:val="21"/>
              </w:rPr>
              <w:t>□</w:t>
            </w:r>
            <w:r>
              <w:rPr>
                <w:rFonts w:ascii="Times New Roman" w:hAnsi="Times New Roman" w:eastAsiaTheme="minorEastAsia"/>
                <w:szCs w:val="21"/>
              </w:rPr>
              <w:t xml:space="preserve">支票  </w:t>
            </w:r>
          </w:p>
          <w:p>
            <w:pPr>
              <w:kinsoku w:val="0"/>
              <w:overflowPunct w:val="0"/>
              <w:autoSpaceDE w:val="0"/>
              <w:autoSpaceDN w:val="0"/>
              <w:adjustRightInd w:val="0"/>
              <w:snapToGrid w:val="0"/>
              <w:spacing w:line="360" w:lineRule="atLeast"/>
              <w:ind w:left="882" w:leftChars="420"/>
              <w:rPr>
                <w:rFonts w:ascii="Times New Roman" w:hAnsi="Times New Roman"/>
                <w:szCs w:val="21"/>
              </w:rPr>
            </w:pPr>
            <w:r>
              <w:rPr>
                <w:rFonts w:hint="eastAsia" w:ascii="宋体" w:hAnsi="宋体"/>
                <w:szCs w:val="21"/>
              </w:rPr>
              <w:t>□</w:t>
            </w:r>
            <w:r>
              <w:rPr>
                <w:rFonts w:ascii="Times New Roman" w:hAnsi="Times New Roman" w:eastAsiaTheme="minorEastAsia"/>
                <w:szCs w:val="21"/>
              </w:rPr>
              <w:t xml:space="preserve">银行保函 </w:t>
            </w:r>
            <w:r>
              <w:rPr>
                <w:rFonts w:hint="eastAsia" w:ascii="宋体" w:hAnsi="宋体"/>
                <w:szCs w:val="21"/>
              </w:rPr>
              <w:t>□</w:t>
            </w:r>
            <w:r>
              <w:rPr>
                <w:rFonts w:ascii="Times New Roman" w:hAnsi="Times New Roman" w:eastAsiaTheme="minorEastAsia"/>
                <w:szCs w:val="21"/>
              </w:rPr>
              <w:t>其他：</w:t>
            </w:r>
            <w:r>
              <w:rPr>
                <w:rFonts w:ascii="Times New Roman" w:hAnsi="Times New Roman"/>
                <w:szCs w:val="21"/>
                <w:u w:val="single"/>
              </w:rPr>
              <w:t xml:space="preserve">    </w:t>
            </w:r>
            <w:r>
              <w:rPr>
                <w:rFonts w:ascii="Times New Roman" w:hAnsi="Times New Roman"/>
                <w:szCs w:val="21"/>
              </w:rPr>
              <w:t>。</w:t>
            </w:r>
          </w:p>
          <w:p>
            <w:pPr>
              <w:widowControl/>
              <w:adjustRightInd w:val="0"/>
              <w:snapToGrid w:val="0"/>
              <w:spacing w:line="360" w:lineRule="atLeast"/>
              <w:rPr>
                <w:rFonts w:ascii="Times New Roman" w:hAnsi="Times New Roman"/>
                <w:szCs w:val="21"/>
              </w:rPr>
            </w:pPr>
            <w:r>
              <w:rPr>
                <w:rFonts w:ascii="Times New Roman" w:hAnsi="Times New Roman"/>
                <w:szCs w:val="21"/>
              </w:rPr>
              <w:t>（1）响应保证金的提交截止时间（以到账时间为准）：</w:t>
            </w:r>
          </w:p>
          <w:p>
            <w:pPr>
              <w:widowControl/>
              <w:adjustRightInd w:val="0"/>
              <w:snapToGrid w:val="0"/>
              <w:spacing w:line="360" w:lineRule="atLeast"/>
              <w:rPr>
                <w:rFonts w:ascii="Times New Roman" w:hAnsi="Times New Roman"/>
                <w:szCs w:val="21"/>
              </w:rPr>
            </w:pPr>
            <w:r>
              <w:rPr>
                <w:rFonts w:ascii="Times New Roman" w:hAnsi="Times New Roman"/>
                <w:szCs w:val="21"/>
              </w:rPr>
              <w:t>同响应文件递交截止时间。</w:t>
            </w:r>
          </w:p>
          <w:p>
            <w:pPr>
              <w:snapToGrid w:val="0"/>
              <w:spacing w:line="360" w:lineRule="atLeast"/>
              <w:rPr>
                <w:rFonts w:ascii="Times New Roman" w:hAnsi="Times New Roman"/>
                <w:szCs w:val="21"/>
              </w:rPr>
            </w:pPr>
            <w:r>
              <w:rPr>
                <w:rFonts w:ascii="Times New Roman" w:hAnsi="Times New Roman"/>
                <w:szCs w:val="21"/>
              </w:rPr>
              <w:t>（2）接收响应保证金的账户信息：</w:t>
            </w:r>
          </w:p>
          <w:p>
            <w:pPr>
              <w:snapToGrid w:val="0"/>
              <w:spacing w:line="360" w:lineRule="atLeast"/>
              <w:rPr>
                <w:rFonts w:ascii="Times New Roman" w:hAnsi="Times New Roman"/>
                <w:szCs w:val="21"/>
                <w:u w:val="single"/>
              </w:rPr>
            </w:pPr>
            <w:r>
              <w:rPr>
                <w:rFonts w:ascii="Times New Roman" w:hAnsi="Times New Roman"/>
                <w:szCs w:val="21"/>
              </w:rPr>
              <w:t>开户名称：</w:t>
            </w:r>
            <w:permStart w:id="46" w:edGrp="everyone"/>
            <w:r>
              <w:rPr>
                <w:rFonts w:hint="eastAsia" w:ascii="Times New Roman" w:hAnsi="Times New Roman"/>
                <w:szCs w:val="21"/>
                <w:u w:val="single"/>
              </w:rPr>
              <w:t>黄山市昱建工程咨询有限责任公司</w:t>
            </w:r>
            <w:permEnd w:id="46"/>
          </w:p>
          <w:p>
            <w:pPr>
              <w:snapToGrid w:val="0"/>
              <w:spacing w:line="360" w:lineRule="atLeast"/>
              <w:rPr>
                <w:rFonts w:ascii="Times New Roman" w:hAnsi="Times New Roman"/>
                <w:szCs w:val="21"/>
                <w:u w:val="single"/>
              </w:rPr>
            </w:pPr>
            <w:r>
              <w:rPr>
                <w:rFonts w:ascii="Times New Roman" w:hAnsi="Times New Roman"/>
                <w:szCs w:val="21"/>
              </w:rPr>
              <w:t>开户银行：</w:t>
            </w:r>
            <w:permStart w:id="47" w:edGrp="everyone"/>
            <w:r>
              <w:rPr>
                <w:rFonts w:hint="eastAsia" w:ascii="Times New Roman" w:hAnsi="Times New Roman"/>
                <w:szCs w:val="21"/>
                <w:u w:val="single"/>
              </w:rPr>
              <w:t>中国建设银行股份有限公司黄山屯溪支行</w:t>
            </w:r>
            <w:permEnd w:id="47"/>
          </w:p>
          <w:p>
            <w:pPr>
              <w:snapToGrid w:val="0"/>
              <w:spacing w:line="360" w:lineRule="atLeast"/>
              <w:rPr>
                <w:rFonts w:ascii="Times New Roman" w:hAnsi="Times New Roman"/>
                <w:szCs w:val="21"/>
                <w:u w:val="single"/>
              </w:rPr>
            </w:pPr>
            <w:r>
              <w:rPr>
                <w:rFonts w:ascii="Times New Roman" w:hAnsi="Times New Roman"/>
                <w:szCs w:val="21"/>
              </w:rPr>
              <w:t>银行账号：</w:t>
            </w:r>
            <w:permStart w:id="48" w:edGrp="everyone"/>
            <w:r>
              <w:rPr>
                <w:rFonts w:ascii="Times New Roman" w:hAnsi="Times New Roman"/>
                <w:szCs w:val="21"/>
                <w:u w:val="single"/>
              </w:rPr>
              <w:t>34050169610800001742</w:t>
            </w:r>
            <w:permEnd w:id="48"/>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（3）响应保证金应从供应商单位账户（汇款单位与供应商名称一致）提交，以个人、供应商分公司、供应商子公司等账户提交，保证金账户与供应商名称不一致的，不符合要求。</w:t>
            </w:r>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（4）为确保在规定截止时间前响应保证金能到达指定账户，供应商在汇款时须充分考虑银行汇款的时间误差风险，并及时核实，否则该风险所造成的后果由供应商自行承担。</w:t>
            </w:r>
          </w:p>
          <w:p>
            <w:pPr>
              <w:pStyle w:val="12"/>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（5）联合体响应的，可以由联合体中的一方或者共同提交响应保证金，以一方名义提交响应保证金的，对联合体各方均具有约束力。</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不退还响应保证金的其他情形</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依法设立的证明材料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供应商应提供市场监管部门或其他行政机关颁发的可以合法开展业务的执照或证书复印件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资质要求证明材料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3.5（3） </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财务要求证明材料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不适用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业绩要求证明材料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信誉要求证明材料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iCs/>
                <w:szCs w:val="21"/>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承担本项目的主要人员</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其他要求的证明材料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供应商不存在第一章3.2款</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情形的证明材料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联合体要求的证明材料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permStart w:id="49" w:edGrp="everyone"/>
            <w:r>
              <w:rPr>
                <w:rFonts w:ascii="Times New Roman" w:hAnsi="Times New Roman" w:eastAsiaTheme="minorEastAsia"/>
                <w:szCs w:val="21"/>
              </w:rPr>
              <w:sym w:font="Wingdings 2" w:char="F052"/>
            </w:r>
            <w:r>
              <w:rPr>
                <w:rFonts w:ascii="Times New Roman" w:hAnsi="Times New Roman" w:eastAsiaTheme="minorEastAsia"/>
                <w:szCs w:val="21"/>
              </w:rPr>
              <w:t>不适用</w:t>
            </w:r>
          </w:p>
          <w:permEnd w:id="49"/>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适用。供应商应按照采购文件提供的格式（格式见第六章“响应文件格式”三、联合体协议书）拟定联合体协议书，并提供联合体协议书的原件。联合体协议书应明确联合体各方的分工</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3.6.1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对关键条款进行响应的证据或</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证明材料要求</w:t>
            </w:r>
          </w:p>
        </w:tc>
        <w:tc>
          <w:tcPr>
            <w:tcW w:w="4961" w:type="dxa"/>
            <w:tcBorders>
              <w:top w:val="single" w:color="auto" w:sz="4" w:space="0"/>
              <w:left w:val="single" w:color="auto" w:sz="4" w:space="0"/>
              <w:bottom w:val="single" w:color="auto" w:sz="4" w:space="0"/>
              <w:right w:val="single" w:color="auto" w:sz="4" w:space="0"/>
            </w:tcBorders>
            <w:vAlign w:val="center"/>
          </w:tcPr>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详见采购需求</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3.7.2(1)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szCs w:val="21"/>
              </w:rPr>
            </w:pPr>
            <w:r>
              <w:rPr>
                <w:rFonts w:ascii="Times New Roman" w:hAnsi="Times New Roman"/>
                <w:szCs w:val="21"/>
              </w:rPr>
              <w:t>响应文件编制</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szCs w:val="21"/>
              </w:rPr>
            </w:pPr>
            <w:r>
              <w:rPr>
                <w:rFonts w:ascii="Times New Roman" w:hAnsi="Times New Roman"/>
                <w:szCs w:val="21"/>
              </w:rPr>
              <w:t>采购项目采用全流程电子化采购方式，须供应商制作电子响应文件；响应文件制作工具下载地址：</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http://toolcdn.youzhicai.com/tools/BidderTools.zip，</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响应文件制作工具使用说明书及视频教程下载地址:</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http://file.youzhicai.com/files/BidderHelp.rar。</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3.7.2(3) </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响应文件所附证书证件要求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eastAsiaTheme="minorEastAsia"/>
                <w:bCs/>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3.7.2 (5) </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响应文件份数及其他要求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供应商应提交的响应文件：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（1）加密的电子响应文件：使用优质采电子交易平台电子标书制作工具制作生成的加密响应文件，应在提交首次响应文件截止时间前通过优质采电子交易平台会员系统上传；</w:t>
            </w:r>
          </w:p>
          <w:p>
            <w:pPr>
              <w:widowControl/>
              <w:topLinePunct/>
              <w:adjustRightInd w:val="0"/>
              <w:snapToGrid w:val="0"/>
              <w:spacing w:line="360" w:lineRule="atLeas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（2）未加密的电子响应文件：生成加密响应文件时同时生成的版本，提供1份（光盘或U盘介质，格式为bzc格式），可密封提交；</w:t>
            </w:r>
          </w:p>
          <w:p>
            <w:pPr>
              <w:widowControl/>
              <w:topLinePunct/>
              <w:adjustRightInd w:val="0"/>
              <w:snapToGrid w:val="0"/>
              <w:spacing w:line="360" w:lineRule="atLeas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（3）纸质响应文件：加密响应文件的打印版，提供</w:t>
            </w:r>
            <w:r>
              <w:rPr>
                <w:rFonts w:ascii="Times New Roman" w:hAnsi="Times New Roman" w:eastAsiaTheme="minorEastAsia"/>
                <w:szCs w:val="21"/>
                <w:u w:val="single"/>
              </w:rPr>
              <w:t xml:space="preserve">  两 </w:t>
            </w:r>
            <w:r>
              <w:rPr>
                <w:rFonts w:ascii="Times New Roman" w:hAnsi="Times New Roman" w:eastAsiaTheme="minorEastAsia"/>
                <w:szCs w:val="21"/>
              </w:rPr>
              <w:t>份，密封提交。</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响应文件如不一致时，按以下顺序确定其响应文件效力：</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（1）加密的电子响应文件；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（2）未加密的电子响应文件；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（3）纸质响应文件。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szCs w:val="21"/>
              </w:rPr>
            </w:pPr>
            <w:r>
              <w:rPr>
                <w:rFonts w:ascii="Times New Roman" w:hAnsi="Times New Roman"/>
                <w:szCs w:val="21"/>
              </w:rPr>
              <w:t>4.1.1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响应文件加密要求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加密的电子响应文件需使用数字证书进行加密，详见http://www.youzhicai.com/HelpCenter/HelpCenterIndex</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提交响应文件的电子交易平台</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eastAsiaTheme="minorEastAsia"/>
                <w:kern w:val="0"/>
                <w:szCs w:val="21"/>
              </w:rPr>
            </w:pPr>
            <w:r>
              <w:rPr>
                <w:rFonts w:ascii="Times New Roman" w:hAnsi="Times New Roman" w:eastAsiaTheme="minorEastAsia"/>
                <w:kern w:val="0"/>
                <w:szCs w:val="21"/>
              </w:rPr>
              <w:t>优质采电子交易平台（网址：</w:t>
            </w:r>
            <w:r>
              <w:fldChar w:fldCharType="begin"/>
            </w:r>
            <w:r>
              <w:instrText xml:space="preserve"> HYPERLINK "http://www.youzhicai.com/" </w:instrText>
            </w:r>
            <w:r>
              <w:fldChar w:fldCharType="separate"/>
            </w:r>
            <w:r>
              <w:rPr>
                <w:rStyle w:val="34"/>
                <w:rFonts w:ascii="Times New Roman" w:hAnsi="Times New Roman" w:eastAsiaTheme="minorEastAsia"/>
                <w:color w:val="auto"/>
                <w:kern w:val="0"/>
                <w:szCs w:val="21"/>
              </w:rPr>
              <w:t>http://www.youzhicai.com/</w:t>
            </w:r>
            <w:r>
              <w:rPr>
                <w:rStyle w:val="34"/>
                <w:rFonts w:ascii="Times New Roman" w:hAnsi="Times New Roman" w:eastAsiaTheme="minorEastAsia"/>
                <w:color w:val="auto"/>
                <w:kern w:val="0"/>
                <w:szCs w:val="21"/>
              </w:rPr>
              <w:fldChar w:fldCharType="end"/>
            </w:r>
            <w:r>
              <w:rPr>
                <w:rFonts w:ascii="Times New Roman" w:hAnsi="Times New Roman" w:eastAsiaTheme="minorEastAsia"/>
                <w:kern w:val="0"/>
                <w:szCs w:val="21"/>
              </w:rPr>
              <w:t>）</w:t>
            </w:r>
          </w:p>
          <w:p>
            <w:pPr>
              <w:widowControl/>
              <w:adjustRightInd w:val="0"/>
              <w:snapToGrid w:val="0"/>
              <w:spacing w:line="360" w:lineRule="atLeast"/>
              <w:rPr>
                <w:rFonts w:ascii="Times New Roman" w:hAnsi="Times New Roman" w:eastAsiaTheme="minorEastAsia"/>
                <w:iCs/>
                <w:szCs w:val="21"/>
              </w:rPr>
            </w:pPr>
            <w:r>
              <w:rPr>
                <w:rFonts w:ascii="Times New Roman" w:hAnsi="Times New Roman" w:eastAsiaTheme="minorEastAsia"/>
                <w:kern w:val="0"/>
                <w:szCs w:val="21"/>
              </w:rPr>
              <w:t>提交非加密的响应文件和纸质响应文件地点：</w:t>
            </w:r>
            <w:r>
              <w:rPr>
                <w:rFonts w:ascii="Times New Roman" w:hAnsi="Times New Roman" w:eastAsiaTheme="minorEastAsia"/>
                <w:iCs/>
                <w:szCs w:val="21"/>
              </w:rPr>
              <w:t>黄山市屯溪区洽阳路6号</w:t>
            </w:r>
          </w:p>
          <w:p>
            <w:pPr>
              <w:widowControl/>
              <w:adjustRightInd w:val="0"/>
              <w:snapToGrid w:val="0"/>
              <w:spacing w:line="360" w:lineRule="atLeast"/>
              <w:rPr>
                <w:rFonts w:ascii="Times New Roman" w:hAnsi="Times New Roman" w:eastAsiaTheme="minorEastAsia"/>
                <w:iCs/>
                <w:szCs w:val="21"/>
              </w:rPr>
            </w:pPr>
            <w:r>
              <w:rPr>
                <w:rFonts w:ascii="Times New Roman" w:hAnsi="Times New Roman" w:eastAsiaTheme="minorEastAsia"/>
                <w:szCs w:val="21"/>
              </w:rPr>
              <w:t>如未在询比采购文件规定的提交首次响应文件截止时间前网上上传加密的电子响应文件，而只提交了未加密的电子响应文件或纸质响应文件的，其响应文件按无效处理。</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是否退还响应文件</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F052"/>
            </w:r>
            <w:r>
              <w:rPr>
                <w:rFonts w:ascii="Times New Roman" w:hAnsi="Times New Roman" w:eastAsiaTheme="minorEastAsia"/>
                <w:sz w:val="21"/>
                <w:szCs w:val="21"/>
              </w:rPr>
              <w:t>否</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是，退还时间：</w:t>
            </w:r>
            <w:r>
              <w:rPr>
                <w:rFonts w:ascii="Times New Roman" w:hAnsi="Times New Roman" w:eastAsiaTheme="minorEastAsia"/>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供应商撤回响应文件情况下</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开启程序</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eastAsiaTheme="minorEastAsia"/>
                <w:szCs w:val="21"/>
                <w:u w:val="single"/>
              </w:rPr>
            </w:pPr>
            <w:r>
              <w:rPr>
                <w:rFonts w:ascii="Times New Roman" w:hAnsi="Times New Roman" w:eastAsiaTheme="minorEastAsia"/>
                <w:szCs w:val="21"/>
              </w:rPr>
              <w:t>解密时间要求：</w:t>
            </w:r>
            <w:r>
              <w:rPr>
                <w:rFonts w:ascii="Times New Roman" w:hAnsi="Times New Roman" w:eastAsiaTheme="minorEastAsia"/>
                <w:szCs w:val="21"/>
                <w:u w:val="single"/>
              </w:rPr>
              <w:t>30分钟以内，以电子交易平台时间为准</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其他要求：</w:t>
            </w:r>
            <w:r>
              <w:rPr>
                <w:rFonts w:ascii="Times New Roman" w:hAnsi="Times New Roman" w:eastAsiaTheme="minorEastAsia"/>
                <w:szCs w:val="21"/>
                <w:u w:val="single"/>
              </w:rPr>
              <w:t>供应商应采用CA锁进行响应文件解密，该CA锁必须与响应文件加密的CA锁一致，否则造成的后果由供应商自行承担</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5.3</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递交响应文件的供应商</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不足的情形</w:t>
            </w:r>
          </w:p>
        </w:tc>
        <w:tc>
          <w:tcPr>
            <w:tcW w:w="4961" w:type="dxa"/>
            <w:tcBorders>
              <w:top w:val="single" w:color="auto" w:sz="4" w:space="0"/>
              <w:left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成交供应商为多家时，供应商不足的数量要求：</w:t>
            </w:r>
            <w:r>
              <w:rPr>
                <w:rFonts w:ascii="Times New Roman" w:hAnsi="Times New Roman" w:eastAsiaTheme="minorEastAsia"/>
                <w:sz w:val="21"/>
                <w:szCs w:val="21"/>
                <w:u w:val="single"/>
              </w:rPr>
              <w:t xml:space="preserve">/   </w:t>
            </w:r>
            <w:r>
              <w:rPr>
                <w:rFonts w:ascii="Times New Roman" w:hAnsi="Times New Roman" w:eastAsiaTheme="minorEastAsia"/>
                <w:sz w:val="21"/>
                <w:szCs w:val="21"/>
              </w:rPr>
              <w:t>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6.2.2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推荐候选成交供应商的</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排序及数量</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是否排序：</w:t>
            </w:r>
            <w:r>
              <w:rPr>
                <w:rFonts w:ascii="Times New Roman" w:hAnsi="Times New Roman" w:eastAsiaTheme="minorEastAsia"/>
                <w:sz w:val="21"/>
                <w:szCs w:val="21"/>
              </w:rPr>
              <w:sym w:font="Wingdings 2" w:char="F052"/>
            </w:r>
            <w:r>
              <w:rPr>
                <w:rFonts w:ascii="Times New Roman" w:hAnsi="Times New Roman" w:eastAsiaTheme="minorEastAsia"/>
                <w:sz w:val="21"/>
                <w:szCs w:val="21"/>
              </w:rPr>
              <w:t xml:space="preserve">排序   </w:t>
            </w:r>
            <w:r>
              <w:rPr>
                <w:rFonts w:ascii="Times New Roman" w:hAnsi="Times New Roman" w:eastAsiaTheme="minorEastAsia"/>
                <w:sz w:val="21"/>
                <w:szCs w:val="21"/>
              </w:rPr>
              <w:sym w:font="Wingdings 2" w:char="00A3"/>
            </w:r>
            <w:r>
              <w:rPr>
                <w:rFonts w:ascii="Times New Roman" w:hAnsi="Times New Roman" w:eastAsiaTheme="minorEastAsia"/>
                <w:sz w:val="21"/>
                <w:szCs w:val="21"/>
              </w:rPr>
              <w:t>不排序</w:t>
            </w:r>
          </w:p>
          <w:p>
            <w:pPr>
              <w:pStyle w:val="12"/>
              <w:topLinePunct/>
              <w:snapToGrid w:val="0"/>
              <w:spacing w:line="360" w:lineRule="atLeast"/>
              <w:rPr>
                <w:rFonts w:ascii="Times New Roman" w:hAnsi="Times New Roman"/>
                <w:sz w:val="21"/>
                <w:szCs w:val="21"/>
              </w:rPr>
            </w:pPr>
            <w:r>
              <w:rPr>
                <w:rFonts w:ascii="Times New Roman" w:hAnsi="Times New Roman" w:eastAsiaTheme="minorEastAsia"/>
                <w:sz w:val="21"/>
                <w:szCs w:val="21"/>
              </w:rPr>
              <w:t>数量：</w:t>
            </w:r>
            <w:r>
              <w:rPr>
                <w:rFonts w:ascii="Times New Roman" w:hAnsi="Times New Roman" w:eastAsiaTheme="minorEastAsia"/>
                <w:sz w:val="21"/>
                <w:szCs w:val="21"/>
                <w:u w:val="single"/>
              </w:rPr>
              <w:t>1-3家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7.2</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候选成交供应商公示</w:t>
            </w:r>
          </w:p>
        </w:tc>
        <w:tc>
          <w:tcPr>
            <w:tcW w:w="4961" w:type="dxa"/>
            <w:tcBorders>
              <w:top w:val="single" w:color="auto" w:sz="4" w:space="0"/>
              <w:left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公示媒介：</w:t>
            </w:r>
            <w:r>
              <w:rPr>
                <w:rFonts w:ascii="Times New Roman" w:hAnsi="Times New Roman" w:eastAsiaTheme="minorEastAsia"/>
                <w:szCs w:val="21"/>
                <w:u w:val="single"/>
              </w:rPr>
              <w:t>同询比采购公告/询比采购邀请书媒介</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公示期限：</w:t>
            </w:r>
            <w:permStart w:id="50" w:edGrp="everyone"/>
            <w:r>
              <w:rPr>
                <w:rFonts w:ascii="Times New Roman" w:hAnsi="Times New Roman" w:eastAsiaTheme="minorEastAsia"/>
                <w:sz w:val="21"/>
                <w:szCs w:val="21"/>
                <w:u w:val="single"/>
              </w:rPr>
              <w:t>3天</w:t>
            </w:r>
            <w:permEnd w:id="50"/>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发布成交公告</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不发布</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履约保证金</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不要求递交</w:t>
            </w:r>
          </w:p>
          <w:p>
            <w:pPr>
              <w:snapToGrid w:val="0"/>
              <w:spacing w:line="360" w:lineRule="atLeast"/>
              <w:rPr>
                <w:rFonts w:ascii="Times New Roman" w:hAnsi="Times New Roman" w:eastAsiaTheme="minorEastAsia"/>
                <w:szCs w:val="21"/>
              </w:rPr>
            </w:pPr>
            <w:permStart w:id="51" w:edGrp="everyone"/>
            <w:r>
              <w:rPr>
                <w:rFonts w:ascii="Times New Roman" w:hAnsi="Times New Roman" w:eastAsiaTheme="minorEastAsia"/>
                <w:szCs w:val="21"/>
              </w:rPr>
              <w:sym w:font="Wingdings 2" w:char="F052"/>
            </w:r>
            <w:r>
              <w:rPr>
                <w:rFonts w:ascii="Times New Roman" w:hAnsi="Times New Roman" w:eastAsiaTheme="minorEastAsia"/>
                <w:szCs w:val="21"/>
              </w:rPr>
              <w:t>要求递交</w:t>
            </w:r>
          </w:p>
          <w:permEnd w:id="51"/>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履约保证金金额：</w:t>
            </w:r>
            <w:r>
              <w:rPr>
                <w:rFonts w:ascii="Times New Roman" w:hAnsi="Times New Roman" w:eastAsiaTheme="minorEastAsia"/>
                <w:szCs w:val="21"/>
                <w:u w:val="single"/>
              </w:rPr>
              <w:t>签约合同价的2%</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ascii="Times New Roman" w:hAnsi="Times New Roman" w:eastAsiaTheme="minorEastAsia"/>
                <w:szCs w:val="21"/>
              </w:rPr>
              <w:sym w:font="Wingdings 2" w:char="F052"/>
            </w:r>
            <w:r>
              <w:rPr>
                <w:rFonts w:ascii="Times New Roman" w:hAnsi="Times New Roman" w:eastAsiaTheme="minorEastAsia"/>
                <w:szCs w:val="21"/>
              </w:rPr>
              <w:t xml:space="preserve">支票 </w:t>
            </w:r>
            <w:r>
              <w:rPr>
                <w:rFonts w:ascii="Times New Roman" w:hAnsi="Times New Roman" w:eastAsiaTheme="minorEastAsia"/>
                <w:szCs w:val="21"/>
              </w:rPr>
              <w:sym w:font="Wingdings 2" w:char="F052"/>
            </w:r>
            <w:r>
              <w:rPr>
                <w:rFonts w:ascii="Times New Roman" w:hAnsi="Times New Roman" w:eastAsiaTheme="minorEastAsia"/>
                <w:szCs w:val="21"/>
              </w:rPr>
              <w:t>银行保函</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递交时间：</w:t>
            </w:r>
            <w:r>
              <w:rPr>
                <w:rFonts w:ascii="Times New Roman" w:hAnsi="Times New Roman" w:eastAsiaTheme="minorEastAsia"/>
                <w:szCs w:val="21"/>
                <w:u w:val="single"/>
              </w:rPr>
              <w:t>合同签订前</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其他要求：</w:t>
            </w:r>
            <w:r>
              <w:rPr>
                <w:rFonts w:ascii="Times New Roman" w:hAnsi="Times New Roman" w:eastAsiaTheme="minorEastAsia"/>
                <w:sz w:val="21"/>
                <w:szCs w:val="21"/>
                <w:u w:val="single"/>
              </w:rPr>
              <w:t xml:space="preserve">未按规定提交履约保证金，采购人可取消其成交资格，并重新确定成交供应商，或者重新开展采购活动。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7.7.4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签约合同价</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8.1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异议渠道</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联系人：</w:t>
            </w:r>
            <w:permStart w:id="52" w:edGrp="everyone"/>
            <w:r>
              <w:rPr>
                <w:rFonts w:hint="eastAsia" w:ascii="Times New Roman" w:hAnsi="Times New Roman" w:eastAsiaTheme="minorEastAsia"/>
                <w:szCs w:val="21"/>
              </w:rPr>
              <w:t>胡磊</w:t>
            </w:r>
            <w:permEnd w:id="52"/>
          </w:p>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联系电话：</w:t>
            </w:r>
            <w:permStart w:id="53" w:edGrp="everyone"/>
            <w:r>
              <w:rPr>
                <w:rFonts w:ascii="Times New Roman" w:hAnsi="Times New Roman" w:eastAsiaTheme="minorEastAsia"/>
                <w:szCs w:val="21"/>
              </w:rPr>
              <w:t>187 5692 7313</w:t>
            </w:r>
            <w:permEnd w:id="53"/>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地址：黄山市屯溪区洽阳路6号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10.1</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采购代理服务费</w:t>
            </w:r>
          </w:p>
        </w:tc>
        <w:tc>
          <w:tcPr>
            <w:tcW w:w="4961" w:type="dxa"/>
            <w:tcBorders>
              <w:top w:val="single" w:color="auto" w:sz="4" w:space="0"/>
              <w:left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成交供应商应在领取成交通知书前向采购代理机构递交代理服务费和专家评审费，代理服务费按计价格[2002]1980号标准计取（不足6000元的按6000元计），专家评审费据实收费。可采用银行转账、银行电汇方式，供应商在响应报价时须综合考虑此项费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电子化采购</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bCs/>
                <w:snapToGrid w:val="0"/>
                <w:kern w:val="0"/>
                <w:szCs w:val="21"/>
              </w:rPr>
            </w:pPr>
            <w:r>
              <w:rPr>
                <w:rFonts w:ascii="Times New Roman" w:hAnsi="Times New Roman" w:eastAsiaTheme="minorEastAsia"/>
                <w:bCs/>
                <w:snapToGrid w:val="0"/>
                <w:kern w:val="0"/>
                <w:szCs w:val="21"/>
              </w:rPr>
              <w:t>本项目采用全流程电子化方式进行采购，除本文件另有规定外，供应商操作要求详见本章附件《全流程电子采购具体要求》。</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本项目的采购文件、澄清及修改等相关资料均通过优质采平台发布，供应商应自行下载。供应商应当及时登录优质采平台查看。</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bCs/>
                <w:snapToGrid w:val="0"/>
                <w:kern w:val="0"/>
                <w:szCs w:val="21"/>
              </w:rPr>
              <w:t>评审过程中的澄清、说明或补正</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bCs/>
                <w:snapToGrid w:val="0"/>
                <w:kern w:val="0"/>
                <w:szCs w:val="21"/>
              </w:rPr>
            </w:pPr>
            <w:r>
              <w:rPr>
                <w:rFonts w:ascii="Times New Roman" w:hAnsi="Times New Roman" w:eastAsiaTheme="minorEastAsia"/>
                <w:bCs/>
                <w:snapToGrid w:val="0"/>
                <w:kern w:val="0"/>
                <w:szCs w:val="21"/>
              </w:rPr>
              <w:t>（1）评审小组通过优质采平台将需要澄清、说明或补正的内容以询标函的形式发送给供应商，供应商应安排专人登录优质采平台并保持在线状态，以便及时接收可能发出的询标函。</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2）因供应商未登录优质采平台导致无法及时接收询标函（远程网上询标）或未在规定时间内（以网上询标系统所示时间为准）按要求进行澄清、说明或补正内容的视同供应商放弃澄清、说明或补正内容的权利，可按对供应商不利的解释进行判定。</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知识产权</w:t>
            </w:r>
          </w:p>
        </w:tc>
        <w:tc>
          <w:tcPr>
            <w:tcW w:w="496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tLeast"/>
              <w:jc w:val="left"/>
              <w:rPr>
                <w:rFonts w:ascii="Times New Roman" w:hAnsi="Times New Roman"/>
                <w:szCs w:val="21"/>
              </w:rPr>
            </w:pPr>
            <w:r>
              <w:rPr>
                <w:rFonts w:ascii="Times New Roman" w:hAnsi="Times New Roman"/>
                <w:szCs w:val="21"/>
              </w:rPr>
              <w:t>（1）构成本文件各个组成部分的文件，未经采购人书面同意，供应商不得擅自复印和用于非本项目所需的其他目的。如因此导致采购人损失的，供应商须承担全部赔偿责任。</w:t>
            </w:r>
          </w:p>
          <w:p>
            <w:pPr>
              <w:pStyle w:val="12"/>
              <w:topLinePunct/>
              <w:snapToGrid w:val="0"/>
              <w:spacing w:line="360" w:lineRule="atLeast"/>
              <w:rPr>
                <w:rFonts w:ascii="Times New Roman" w:hAnsi="Times New Roman" w:eastAsiaTheme="minorEastAsia"/>
                <w:sz w:val="21"/>
                <w:szCs w:val="21"/>
              </w:rPr>
            </w:pPr>
            <w:r>
              <w:rPr>
                <w:rFonts w:ascii="Times New Roman" w:hAnsi="Times New Roman"/>
                <w:sz w:val="21"/>
                <w:szCs w:val="21"/>
              </w:rPr>
              <w:t>（2）采购人在中华人民共和国境内使用成交货物（服务）、资料、技术、服务或其任何一部分时，履行合同义务后，享有不受限制的无偿使用权，不会产生因第三方提出侵犯其专利权、商标权或其它知识产权而引起的法律或经济纠纷。如供应商不拥有相应的知识产权，则在响应报价中必须包括合法获取该知识产权的一切相关费用。如因此导致采购人损失的，供应商须承担全部赔偿责任。</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bCs/>
                <w:snapToGrid w:val="0"/>
                <w:kern w:val="0"/>
                <w:szCs w:val="21"/>
              </w:rPr>
              <w:t>样品</w:t>
            </w:r>
          </w:p>
        </w:tc>
        <w:tc>
          <w:tcPr>
            <w:tcW w:w="4961" w:type="dxa"/>
            <w:tcBorders>
              <w:top w:val="single" w:color="auto" w:sz="4" w:space="0"/>
              <w:left w:val="single" w:color="auto" w:sz="4" w:space="0"/>
              <w:bottom w:val="single" w:color="auto" w:sz="4" w:space="0"/>
              <w:right w:val="single" w:color="auto" w:sz="4" w:space="0"/>
            </w:tcBorders>
            <w:vAlign w:val="center"/>
          </w:tcPr>
          <w:p>
            <w:pPr>
              <w:spacing w:line="360" w:lineRule="atLeast"/>
              <w:rPr>
                <w:rFonts w:ascii="Times New Roman" w:hAnsi="Times New Roman"/>
                <w:bCs/>
                <w:snapToGrid w:val="0"/>
                <w:kern w:val="0"/>
                <w:szCs w:val="21"/>
              </w:rPr>
            </w:pPr>
            <w:r>
              <w:rPr>
                <w:rFonts w:ascii="Times New Roman" w:hAnsi="Times New Roman"/>
                <w:szCs w:val="21"/>
              </w:rPr>
              <w:sym w:font="Wingdings" w:char="F0FE"/>
            </w:r>
            <w:r>
              <w:rPr>
                <w:rFonts w:ascii="Times New Roman" w:hAnsi="Times New Roman"/>
                <w:bCs/>
                <w:snapToGrid w:val="0"/>
                <w:kern w:val="0"/>
                <w:szCs w:val="21"/>
              </w:rPr>
              <w:t>不需要提供</w:t>
            </w:r>
          </w:p>
          <w:p>
            <w:pPr>
              <w:pStyle w:val="12"/>
              <w:topLinePunct/>
              <w:snapToGrid w:val="0"/>
              <w:spacing w:line="360" w:lineRule="atLeast"/>
              <w:rPr>
                <w:rFonts w:ascii="Times New Roman" w:hAnsi="Times New Roman" w:eastAsiaTheme="minorEastAsia"/>
                <w:sz w:val="21"/>
                <w:szCs w:val="21"/>
              </w:rPr>
            </w:pPr>
            <w:r>
              <w:rPr>
                <w:rFonts w:ascii="Times New Roman" w:hAnsi="Times New Roman"/>
                <w:bCs/>
                <w:snapToGrid w:val="0"/>
                <w:kern w:val="0"/>
                <w:sz w:val="21"/>
                <w:szCs w:val="21"/>
              </w:rPr>
              <w:t>□需要提供，</w:t>
            </w:r>
            <w:r>
              <w:rPr>
                <w:rFonts w:ascii="Times New Roman" w:hAnsi="Times New Roman"/>
                <w:sz w:val="21"/>
                <w:szCs w:val="21"/>
              </w:rPr>
              <w:t>提交样品的具体要求：</w:t>
            </w:r>
            <w:r>
              <w:rPr>
                <w:rFonts w:ascii="Times New Roman" w:hAnsi="Times New Roman"/>
                <w:sz w:val="21"/>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询比采购文件的解释</w:t>
            </w:r>
          </w:p>
        </w:tc>
        <w:tc>
          <w:tcPr>
            <w:tcW w:w="4961" w:type="dxa"/>
            <w:tcBorders>
              <w:top w:val="single" w:color="auto" w:sz="4" w:space="0"/>
              <w:left w:val="single" w:color="auto" w:sz="4" w:space="0"/>
              <w:bottom w:val="single" w:color="auto" w:sz="4" w:space="0"/>
              <w:right w:val="single" w:color="auto" w:sz="4" w:space="0"/>
            </w:tcBorders>
          </w:tcPr>
          <w:p>
            <w:pPr>
              <w:pStyle w:val="12"/>
              <w:topLinePunct/>
              <w:snapToGrid w:val="0"/>
              <w:spacing w:line="360" w:lineRule="atLeast"/>
              <w:rPr>
                <w:rFonts w:ascii="Times New Roman" w:hAnsi="Times New Roman" w:eastAsiaTheme="minorEastAsia"/>
                <w:sz w:val="21"/>
                <w:szCs w:val="21"/>
              </w:rPr>
            </w:pPr>
            <w:r>
              <w:rPr>
                <w:rFonts w:ascii="Times New Roman" w:hAnsi="Times New Roman"/>
                <w:sz w:val="21"/>
                <w:szCs w:val="21"/>
              </w:rPr>
              <w:t>构成本文件的各个组成文件应互为解释，互为说明；如有不明确或不一致，除询比采购文件中有特别规定外，仅适用于询比阶段规定的，按公告、供应商须知、评审办法、响应文件格式的先后顺序解释；同一组成文件中就同一事项的规定或约定不一致的，以编排顺序在后者为准；同一文件不同版本之间有不一致的，以形成时间在后者为准。按本款前述规定仍不能形成结论的，</w:t>
            </w:r>
            <w:r>
              <w:rPr>
                <w:rFonts w:ascii="Times New Roman" w:hAnsi="Times New Roman"/>
                <w:bCs/>
                <w:sz w:val="21"/>
                <w:szCs w:val="21"/>
              </w:rPr>
              <w:t>由采购人和采购代理机构负责解释。</w:t>
            </w:r>
          </w:p>
        </w:tc>
      </w:tr>
    </w:tbl>
    <w:p>
      <w:pPr>
        <w:pStyle w:val="2"/>
        <w:ind w:firstLine="640"/>
      </w:pPr>
    </w:p>
    <w:p>
      <w:pPr>
        <w:widowControl/>
        <w:jc w:val="left"/>
        <w:rPr>
          <w:rFonts w:ascii="Times New Roman" w:hAnsi="Times New Roman" w:eastAsia="黑体"/>
          <w:b/>
          <w:sz w:val="32"/>
          <w:szCs w:val="20"/>
        </w:rPr>
      </w:pPr>
      <w:bookmarkStart w:id="59" w:name="_Toc501460650"/>
      <w:bookmarkStart w:id="60" w:name="_Toc81853735"/>
      <w:r>
        <w:rPr>
          <w:rFonts w:ascii="Times New Roman" w:hAnsi="Times New Roman"/>
        </w:rPr>
        <w:br w:type="page"/>
      </w:r>
    </w:p>
    <w:p>
      <w:pPr>
        <w:pStyle w:val="6"/>
        <w:rPr>
          <w:rFonts w:ascii="Times New Roman" w:hAnsi="Times New Roman"/>
        </w:rPr>
      </w:pPr>
      <w:r>
        <w:rPr>
          <w:rFonts w:ascii="Times New Roman" w:hAnsi="Times New Roman"/>
        </w:rPr>
        <w:t>1. 总则</w:t>
      </w:r>
      <w:bookmarkEnd w:id="59"/>
      <w:bookmarkEnd w:id="60"/>
    </w:p>
    <w:p>
      <w:pPr>
        <w:pStyle w:val="7"/>
        <w:spacing w:line="240" w:lineRule="auto"/>
        <w:ind w:firstLine="137"/>
        <w:rPr>
          <w:rFonts w:ascii="Times New Roman" w:hAnsi="Times New Roman"/>
        </w:rPr>
      </w:pPr>
      <w:bookmarkStart w:id="61" w:name="_Toc81853736"/>
      <w:bookmarkStart w:id="62" w:name="_Toc501460651"/>
      <w:r>
        <w:rPr>
          <w:rFonts w:ascii="Times New Roman" w:hAnsi="Times New Roman"/>
        </w:rPr>
        <w:t>1.1 采购方式</w:t>
      </w:r>
      <w:bookmarkEnd w:id="61"/>
    </w:p>
    <w:p>
      <w:pPr>
        <w:adjustRightInd w:val="0"/>
        <w:snapToGrid w:val="0"/>
        <w:spacing w:line="360" w:lineRule="auto"/>
        <w:ind w:firstLine="420" w:firstLineChars="200"/>
        <w:rPr>
          <w:rFonts w:ascii="Times New Roman" w:hAnsi="Times New Roman"/>
        </w:rPr>
      </w:pPr>
      <w:r>
        <w:rPr>
          <w:rFonts w:ascii="Times New Roman" w:hAnsi="Times New Roman"/>
        </w:rPr>
        <w:t>本项目采用中国招标投标协会发布的《非招标方式采购代理服务规范》（T/CTBA001-2019）规定的询比采购方式。</w:t>
      </w:r>
    </w:p>
    <w:p>
      <w:pPr>
        <w:adjustRightInd w:val="0"/>
        <w:snapToGrid w:val="0"/>
        <w:spacing w:line="360" w:lineRule="auto"/>
        <w:ind w:firstLine="420" w:firstLineChars="200"/>
        <w:rPr>
          <w:rFonts w:ascii="Times New Roman" w:hAnsi="Times New Roman"/>
        </w:rPr>
      </w:pPr>
      <w:r>
        <w:rPr>
          <w:rFonts w:ascii="Times New Roman" w:hAnsi="Times New Roman"/>
        </w:rPr>
        <w:t>询比采购是指采购人组建评审小组与响应采购的供应商按照采购文件规定的规则和时间一次递交的响应文件进行评审，采购人根据评审小组的评审结果，选择确定成交供应商的采购方式。</w:t>
      </w:r>
    </w:p>
    <w:p>
      <w:pPr>
        <w:pStyle w:val="7"/>
        <w:spacing w:line="240" w:lineRule="auto"/>
        <w:ind w:firstLine="137"/>
        <w:rPr>
          <w:rFonts w:ascii="Times New Roman" w:hAnsi="Times New Roman"/>
        </w:rPr>
      </w:pPr>
      <w:bookmarkStart w:id="63" w:name="_Toc81853737"/>
      <w:r>
        <w:rPr>
          <w:rFonts w:ascii="Times New Roman" w:hAnsi="Times New Roman"/>
        </w:rPr>
        <w:t>1.2 采购项目概况</w:t>
      </w:r>
      <w:bookmarkEnd w:id="62"/>
      <w:r>
        <w:rPr>
          <w:rFonts w:ascii="Times New Roman" w:hAnsi="Times New Roman"/>
        </w:rPr>
        <w:t>和供应商资格要求</w:t>
      </w:r>
      <w:bookmarkEnd w:id="63"/>
    </w:p>
    <w:p>
      <w:pPr>
        <w:spacing w:line="400" w:lineRule="exact"/>
        <w:ind w:firstLine="420" w:firstLineChars="200"/>
        <w:rPr>
          <w:rFonts w:ascii="Times New Roman" w:hAnsi="Times New Roman"/>
        </w:rPr>
      </w:pPr>
      <w:r>
        <w:rPr>
          <w:rFonts w:ascii="Times New Roman" w:hAnsi="Times New Roman"/>
        </w:rPr>
        <w:t>采购项目概况和供应商资格要求见第一章“询比采购公告/询比采购邀请书”。</w:t>
      </w:r>
    </w:p>
    <w:p>
      <w:pPr>
        <w:pStyle w:val="7"/>
        <w:spacing w:line="240" w:lineRule="auto"/>
        <w:ind w:firstLine="137"/>
        <w:rPr>
          <w:rFonts w:ascii="Times New Roman" w:hAnsi="Times New Roman"/>
        </w:rPr>
      </w:pPr>
      <w:bookmarkStart w:id="64" w:name="_Toc81853738"/>
      <w:r>
        <w:rPr>
          <w:rFonts w:ascii="Times New Roman" w:hAnsi="Times New Roman"/>
        </w:rPr>
        <w:t>1.3 费用承担</w:t>
      </w:r>
      <w:bookmarkEnd w:id="64"/>
    </w:p>
    <w:p>
      <w:pPr>
        <w:spacing w:line="400" w:lineRule="exact"/>
        <w:ind w:firstLine="420" w:firstLineChars="200"/>
        <w:rPr>
          <w:rFonts w:ascii="Times New Roman" w:hAnsi="Times New Roman"/>
        </w:rPr>
      </w:pPr>
      <w:r>
        <w:rPr>
          <w:rFonts w:ascii="Times New Roman" w:hAnsi="Times New Roman"/>
        </w:rPr>
        <w:t>供应商准备和参加询比采购活动所发生的各种费用由供应商自行承担。</w:t>
      </w:r>
    </w:p>
    <w:p>
      <w:pPr>
        <w:pStyle w:val="7"/>
        <w:spacing w:line="240" w:lineRule="auto"/>
        <w:ind w:firstLine="137"/>
        <w:rPr>
          <w:rFonts w:ascii="Times New Roman" w:hAnsi="Times New Roman"/>
        </w:rPr>
      </w:pPr>
      <w:bookmarkStart w:id="65" w:name="_Toc81853739"/>
      <w:bookmarkStart w:id="66" w:name="_Toc501460656"/>
      <w:r>
        <w:rPr>
          <w:rFonts w:ascii="Times New Roman" w:hAnsi="Times New Roman"/>
        </w:rPr>
        <w:t>1.4 保密</w:t>
      </w:r>
      <w:bookmarkEnd w:id="65"/>
      <w:bookmarkEnd w:id="66"/>
    </w:p>
    <w:p>
      <w:pPr>
        <w:spacing w:line="400" w:lineRule="exact"/>
        <w:ind w:firstLine="420" w:firstLineChars="200"/>
        <w:rPr>
          <w:rFonts w:ascii="Times New Roman" w:hAnsi="Times New Roman"/>
        </w:rPr>
      </w:pPr>
      <w:r>
        <w:rPr>
          <w:rFonts w:ascii="Times New Roman" w:hAnsi="Times New Roman"/>
        </w:rPr>
        <w:t>参与询比采购活动的各方应对采购文件和响应文件中的</w:t>
      </w:r>
      <w:bookmarkStart w:id="67" w:name="_Toc361508589"/>
      <w:bookmarkStart w:id="68" w:name="_Toc352691477"/>
      <w:bookmarkStart w:id="69" w:name="_Toc369531519"/>
      <w:bookmarkStart w:id="70" w:name="_Toc5326"/>
      <w:bookmarkStart w:id="71" w:name="_Toc384308214"/>
      <w:r>
        <w:rPr>
          <w:rFonts w:ascii="Times New Roman" w:hAnsi="Times New Roman"/>
        </w:rPr>
        <w:t>商业和技术等秘密保密</w:t>
      </w:r>
      <w:bookmarkEnd w:id="67"/>
      <w:bookmarkEnd w:id="68"/>
      <w:bookmarkEnd w:id="69"/>
      <w:bookmarkEnd w:id="70"/>
      <w:bookmarkEnd w:id="71"/>
      <w:r>
        <w:rPr>
          <w:rFonts w:ascii="Times New Roman" w:hAnsi="Times New Roman"/>
        </w:rPr>
        <w:t>，否则应承担相应的法律责任。</w:t>
      </w:r>
    </w:p>
    <w:p>
      <w:pPr>
        <w:pStyle w:val="7"/>
        <w:spacing w:line="240" w:lineRule="auto"/>
        <w:ind w:firstLine="137"/>
        <w:rPr>
          <w:rFonts w:ascii="Times New Roman" w:hAnsi="Times New Roman"/>
        </w:rPr>
      </w:pPr>
      <w:bookmarkStart w:id="72" w:name="_Toc501460657"/>
      <w:bookmarkStart w:id="73" w:name="_Toc81853740"/>
      <w:r>
        <w:rPr>
          <w:rFonts w:ascii="Times New Roman" w:hAnsi="Times New Roman"/>
        </w:rPr>
        <w:t>1.5 语言文字</w:t>
      </w:r>
      <w:bookmarkEnd w:id="72"/>
      <w:bookmarkEnd w:id="73"/>
    </w:p>
    <w:p>
      <w:pPr>
        <w:spacing w:line="400" w:lineRule="exact"/>
        <w:ind w:firstLine="420" w:firstLineChars="200"/>
        <w:rPr>
          <w:rFonts w:ascii="Times New Roman" w:hAnsi="Times New Roman"/>
        </w:rPr>
      </w:pPr>
      <w:r>
        <w:rPr>
          <w:rFonts w:ascii="Times New Roman" w:hAnsi="Times New Roman"/>
        </w:rPr>
        <w:t>采购文件和响应文件使用的语言文字为中文。专用术语使用外文的，应附有中文注释。</w:t>
      </w:r>
    </w:p>
    <w:p>
      <w:pPr>
        <w:pStyle w:val="7"/>
        <w:spacing w:line="240" w:lineRule="auto"/>
        <w:ind w:firstLine="137"/>
        <w:rPr>
          <w:rFonts w:ascii="Times New Roman" w:hAnsi="Times New Roman"/>
        </w:rPr>
      </w:pPr>
      <w:bookmarkStart w:id="74" w:name="_Toc501460658"/>
      <w:bookmarkStart w:id="75" w:name="_Toc81853741"/>
      <w:r>
        <w:rPr>
          <w:rFonts w:ascii="Times New Roman" w:hAnsi="Times New Roman"/>
        </w:rPr>
        <w:t>1.6 计量单位</w:t>
      </w:r>
      <w:bookmarkEnd w:id="74"/>
      <w:bookmarkEnd w:id="75"/>
    </w:p>
    <w:p>
      <w:pPr>
        <w:spacing w:line="400" w:lineRule="exact"/>
        <w:ind w:firstLine="420" w:firstLineChars="200"/>
        <w:rPr>
          <w:rFonts w:ascii="Times New Roman" w:hAnsi="Times New Roman"/>
        </w:rPr>
      </w:pPr>
      <w:r>
        <w:rPr>
          <w:rFonts w:ascii="Times New Roman" w:hAnsi="Times New Roman"/>
        </w:rPr>
        <w:t>所有计量均采用中华人民共和国法定计量单位。</w:t>
      </w:r>
    </w:p>
    <w:p>
      <w:pPr>
        <w:pStyle w:val="7"/>
        <w:spacing w:line="240" w:lineRule="auto"/>
        <w:ind w:firstLine="137"/>
        <w:rPr>
          <w:rFonts w:ascii="Times New Roman" w:hAnsi="Times New Roman"/>
        </w:rPr>
      </w:pPr>
      <w:bookmarkStart w:id="76" w:name="_Toc247527563"/>
      <w:bookmarkStart w:id="77" w:name="_Toc152042315"/>
      <w:bookmarkStart w:id="78" w:name="_Toc384308219"/>
      <w:bookmarkStart w:id="79" w:name="_Toc361508594"/>
      <w:bookmarkStart w:id="80" w:name="_Toc370676289"/>
      <w:bookmarkStart w:id="81" w:name="_Toc300834959"/>
      <w:bookmarkStart w:id="82" w:name="_Toc482188480"/>
      <w:bookmarkStart w:id="83" w:name="_Toc391393967"/>
      <w:bookmarkStart w:id="84" w:name="_Toc144974507"/>
      <w:bookmarkStart w:id="85" w:name="_Toc152045539"/>
      <w:bookmarkStart w:id="86" w:name="_Toc247513962"/>
      <w:bookmarkStart w:id="87" w:name="_Toc81853742"/>
      <w:bookmarkStart w:id="88" w:name="_Toc501460401"/>
      <w:bookmarkStart w:id="89" w:name="_Toc501460659"/>
      <w:bookmarkStart w:id="90" w:name="_Toc485303284"/>
      <w:r>
        <w:rPr>
          <w:rFonts w:ascii="Times New Roman" w:hAnsi="Times New Roman"/>
        </w:rPr>
        <w:t>1.7 踏勘现场</w:t>
      </w:r>
      <w:bookmarkEnd w:id="76"/>
      <w:bookmarkEnd w:id="77"/>
      <w:bookmarkEnd w:id="78"/>
      <w:bookmarkEnd w:id="79"/>
      <w:bookmarkEnd w:id="80"/>
      <w:bookmarkEnd w:id="81"/>
      <w:bookmarkEnd w:id="82"/>
      <w:bookmarkEnd w:id="83"/>
      <w:bookmarkEnd w:id="84"/>
      <w:bookmarkEnd w:id="85"/>
      <w:bookmarkEnd w:id="86"/>
      <w:bookmarkEnd w:id="87"/>
      <w:bookmarkEnd w:id="88"/>
    </w:p>
    <w:p>
      <w:pPr>
        <w:spacing w:line="400" w:lineRule="exact"/>
        <w:ind w:firstLine="420" w:firstLineChars="200"/>
        <w:rPr>
          <w:rFonts w:ascii="Times New Roman" w:hAnsi="Times New Roman"/>
        </w:rPr>
      </w:pPr>
      <w:r>
        <w:rPr>
          <w:rFonts w:ascii="Times New Roman" w:hAnsi="Times New Roman"/>
        </w:rPr>
        <w:t>1.7.1 供应商须知前附表规定组织踏勘现场的，采购人按供应商须知前附表规定的时间、地点组织供应商踏勘项目现场。部分供应商未按时参加踏勘现场的，不影响踏勘现场的正常进行。</w:t>
      </w:r>
    </w:p>
    <w:p>
      <w:pPr>
        <w:spacing w:line="400" w:lineRule="exact"/>
        <w:ind w:firstLine="420" w:firstLineChars="200"/>
        <w:rPr>
          <w:rFonts w:ascii="Times New Roman" w:hAnsi="Times New Roman"/>
        </w:rPr>
      </w:pPr>
      <w:r>
        <w:rPr>
          <w:rFonts w:ascii="Times New Roman" w:hAnsi="Times New Roman"/>
        </w:rPr>
        <w:t>1.7.2 供应商可自愿参加踏勘现场活动。除采购人的原因外，采购人对供应商参加踏勘现场中所发生的人员伤亡和财产损失不承担责任。</w:t>
      </w:r>
    </w:p>
    <w:p>
      <w:pPr>
        <w:spacing w:line="400" w:lineRule="exact"/>
        <w:ind w:firstLine="420" w:firstLineChars="200"/>
        <w:rPr>
          <w:rFonts w:ascii="Times New Roman" w:hAnsi="Times New Roman"/>
        </w:rPr>
      </w:pPr>
      <w:r>
        <w:rPr>
          <w:rFonts w:ascii="Times New Roman" w:hAnsi="Times New Roman"/>
        </w:rPr>
        <w:t>1.7.3 采购人在踏勘现场中介绍的工程场地和相关的周边环境情况，仅作为供应商编制响应文件的参考，采购人不对供应商据此作出的判断和决策负责。</w:t>
      </w:r>
    </w:p>
    <w:p>
      <w:pPr>
        <w:pStyle w:val="7"/>
        <w:spacing w:line="240" w:lineRule="auto"/>
        <w:ind w:firstLine="137"/>
        <w:rPr>
          <w:rFonts w:ascii="Times New Roman" w:hAnsi="Times New Roman"/>
        </w:rPr>
      </w:pPr>
      <w:bookmarkStart w:id="91" w:name="_Toc81853743"/>
      <w:r>
        <w:rPr>
          <w:rFonts w:ascii="Times New Roman" w:hAnsi="Times New Roman"/>
        </w:rPr>
        <w:t>1.8 询比采购预备会</w:t>
      </w:r>
      <w:bookmarkEnd w:id="89"/>
      <w:bookmarkEnd w:id="90"/>
      <w:bookmarkEnd w:id="91"/>
    </w:p>
    <w:p>
      <w:pPr>
        <w:spacing w:line="400" w:lineRule="exact"/>
        <w:ind w:firstLine="420" w:firstLineChars="200"/>
        <w:rPr>
          <w:rFonts w:ascii="Times New Roman" w:hAnsi="Times New Roman"/>
        </w:rPr>
      </w:pPr>
      <w:r>
        <w:rPr>
          <w:rFonts w:ascii="Times New Roman" w:hAnsi="Times New Roman"/>
        </w:rPr>
        <w:t>供应商须知前附表规定召开询比采购预备会的，采购人按供应商须知前附表规定的时间和地点召开询比采购预备会。</w:t>
      </w:r>
    </w:p>
    <w:p>
      <w:pPr>
        <w:pStyle w:val="7"/>
        <w:spacing w:line="240" w:lineRule="auto"/>
        <w:ind w:firstLine="137"/>
        <w:rPr>
          <w:rFonts w:ascii="Times New Roman" w:hAnsi="Times New Roman"/>
        </w:rPr>
      </w:pPr>
      <w:bookmarkStart w:id="92" w:name="_Toc81853744"/>
      <w:bookmarkStart w:id="93" w:name="_Toc501460660"/>
      <w:r>
        <w:rPr>
          <w:rFonts w:ascii="Times New Roman" w:hAnsi="Times New Roman"/>
        </w:rPr>
        <w:t>1.9 分包</w:t>
      </w:r>
      <w:bookmarkEnd w:id="92"/>
      <w:bookmarkEnd w:id="93"/>
    </w:p>
    <w:p>
      <w:pPr>
        <w:spacing w:line="400" w:lineRule="exact"/>
        <w:ind w:firstLine="420" w:firstLineChars="200"/>
        <w:rPr>
          <w:rFonts w:ascii="Times New Roman" w:hAnsi="Times New Roman"/>
        </w:rPr>
      </w:pPr>
      <w:r>
        <w:rPr>
          <w:rFonts w:ascii="Times New Roman" w:hAnsi="Times New Roman"/>
        </w:rPr>
        <w:t>供应商拟在成交后将成交项目的部分工作进行分包的，应符合供应商须知前附表的规定，并在响应文件中作出说明。</w:t>
      </w:r>
    </w:p>
    <w:p>
      <w:pPr>
        <w:spacing w:line="400" w:lineRule="exact"/>
        <w:ind w:firstLine="420" w:firstLineChars="200"/>
        <w:rPr>
          <w:rFonts w:ascii="Times New Roman" w:hAnsi="Times New Roman"/>
        </w:rPr>
      </w:pPr>
      <w:r>
        <w:rPr>
          <w:rFonts w:ascii="Times New Roman" w:hAnsi="Times New Roman"/>
        </w:rPr>
        <w:t>分包供应商不得将分包项目再次分包。成交供应商应当就分包项目向采购人负责，分包供应商就分包项目承担连带责任。</w:t>
      </w:r>
    </w:p>
    <w:p>
      <w:pPr>
        <w:pStyle w:val="7"/>
        <w:spacing w:line="240" w:lineRule="auto"/>
        <w:ind w:firstLine="137"/>
        <w:rPr>
          <w:rFonts w:ascii="Times New Roman" w:hAnsi="Times New Roman"/>
        </w:rPr>
      </w:pPr>
      <w:bookmarkStart w:id="94" w:name="_Toc501460661"/>
      <w:bookmarkStart w:id="95" w:name="_Toc81853746"/>
      <w:r>
        <w:rPr>
          <w:rFonts w:ascii="Times New Roman" w:hAnsi="Times New Roman"/>
        </w:rPr>
        <w:t>1.10 响应和偏差</w:t>
      </w:r>
      <w:bookmarkEnd w:id="94"/>
      <w:bookmarkEnd w:id="95"/>
    </w:p>
    <w:p>
      <w:pPr>
        <w:spacing w:line="400" w:lineRule="exact"/>
        <w:ind w:firstLine="420" w:firstLineChars="200"/>
        <w:rPr>
          <w:rFonts w:ascii="Times New Roman" w:hAnsi="Times New Roman"/>
        </w:rPr>
      </w:pPr>
      <w:r>
        <w:rPr>
          <w:rFonts w:ascii="Times New Roman" w:hAnsi="Times New Roman"/>
        </w:rPr>
        <w:t>1.10.1 采购需求和合同条款及格式中的关键条款均以“*”符号标记。响应文件应当对采购需求和合同条款及格式中的关键条款作出满足性或更有利于采购人的响应，否则，供应商的响应文件将被视为无效。</w:t>
      </w:r>
    </w:p>
    <w:p>
      <w:pPr>
        <w:spacing w:line="400" w:lineRule="exact"/>
        <w:ind w:firstLine="420" w:firstLineChars="200"/>
        <w:rPr>
          <w:rFonts w:ascii="Times New Roman" w:hAnsi="Times New Roman"/>
        </w:rPr>
      </w:pPr>
      <w:r>
        <w:rPr>
          <w:rFonts w:ascii="Times New Roman" w:hAnsi="Times New Roman"/>
        </w:rPr>
        <w:t>1.10.2 供应商须知前附表规定了对非关键条款允许偏差的范围和可以偏差的项数的，如响应文件存在的偏差超出上述范围或项数，将被视为无效。</w:t>
      </w:r>
    </w:p>
    <w:p>
      <w:pPr>
        <w:pStyle w:val="7"/>
        <w:spacing w:line="240" w:lineRule="auto"/>
        <w:ind w:firstLine="137"/>
        <w:rPr>
          <w:rFonts w:ascii="Times New Roman" w:hAnsi="Times New Roman"/>
        </w:rPr>
      </w:pPr>
      <w:r>
        <w:rPr>
          <w:rFonts w:ascii="Times New Roman" w:hAnsi="Times New Roman"/>
        </w:rPr>
        <w:t>1.11 成交供应商数量及成交份额</w:t>
      </w:r>
    </w:p>
    <w:p>
      <w:pPr>
        <w:pStyle w:val="2"/>
        <w:rPr>
          <w:rFonts w:ascii="Times New Roman" w:eastAsia="宋体"/>
          <w:sz w:val="21"/>
          <w:szCs w:val="22"/>
        </w:rPr>
      </w:pPr>
      <w:r>
        <w:rPr>
          <w:rFonts w:ascii="Times New Roman" w:eastAsia="宋体"/>
          <w:sz w:val="21"/>
          <w:szCs w:val="22"/>
        </w:rPr>
        <w:t>见供应商须知前附表。</w:t>
      </w:r>
    </w:p>
    <w:p>
      <w:pPr>
        <w:pStyle w:val="6"/>
        <w:rPr>
          <w:rFonts w:ascii="Times New Roman" w:hAnsi="Times New Roman"/>
        </w:rPr>
      </w:pPr>
      <w:bookmarkStart w:id="96" w:name="_Toc501460662"/>
      <w:bookmarkStart w:id="97" w:name="_Toc81853747"/>
      <w:r>
        <w:rPr>
          <w:rFonts w:ascii="Times New Roman" w:hAnsi="Times New Roman"/>
        </w:rPr>
        <w:t xml:space="preserve">2. </w:t>
      </w:r>
      <w:bookmarkEnd w:id="96"/>
      <w:r>
        <w:rPr>
          <w:rFonts w:ascii="Times New Roman" w:hAnsi="Times New Roman"/>
        </w:rPr>
        <w:t>采购文件</w:t>
      </w:r>
      <w:bookmarkEnd w:id="97"/>
    </w:p>
    <w:p>
      <w:pPr>
        <w:pStyle w:val="7"/>
        <w:spacing w:line="240" w:lineRule="auto"/>
        <w:ind w:firstLine="137"/>
        <w:rPr>
          <w:rFonts w:ascii="Times New Roman" w:hAnsi="Times New Roman"/>
        </w:rPr>
      </w:pPr>
      <w:bookmarkStart w:id="98" w:name="_Toc81853748"/>
      <w:bookmarkStart w:id="99" w:name="_Toc501460663"/>
      <w:r>
        <w:rPr>
          <w:rFonts w:ascii="Times New Roman" w:hAnsi="Times New Roman"/>
        </w:rPr>
        <w:t>2.1 采购文件的组成</w:t>
      </w:r>
      <w:bookmarkEnd w:id="98"/>
    </w:p>
    <w:p>
      <w:pPr>
        <w:spacing w:line="400" w:lineRule="exact"/>
        <w:ind w:firstLine="359" w:firstLineChars="171"/>
        <w:rPr>
          <w:rFonts w:ascii="Times New Roman" w:hAnsi="Times New Roman"/>
        </w:rPr>
      </w:pPr>
      <w:r>
        <w:rPr>
          <w:rFonts w:ascii="Times New Roman" w:hAnsi="Times New Roman"/>
        </w:rPr>
        <w:t>本采购文件包括：</w:t>
      </w:r>
    </w:p>
    <w:p>
      <w:pPr>
        <w:spacing w:line="400" w:lineRule="exact"/>
        <w:ind w:firstLine="359" w:firstLineChars="171"/>
        <w:rPr>
          <w:rFonts w:ascii="Times New Roman" w:hAnsi="Times New Roman"/>
        </w:rPr>
      </w:pPr>
      <w:r>
        <w:rPr>
          <w:rFonts w:ascii="Times New Roman" w:hAnsi="Times New Roman"/>
        </w:rPr>
        <w:t>（1）询比采购公告（或询比采购邀请书）；</w:t>
      </w:r>
    </w:p>
    <w:p>
      <w:pPr>
        <w:spacing w:line="400" w:lineRule="exact"/>
        <w:ind w:firstLine="359" w:firstLineChars="171"/>
        <w:rPr>
          <w:rFonts w:ascii="Times New Roman" w:hAnsi="Times New Roman"/>
        </w:rPr>
      </w:pPr>
      <w:r>
        <w:rPr>
          <w:rFonts w:ascii="Times New Roman" w:hAnsi="Times New Roman"/>
        </w:rPr>
        <w:t>（2）供应商须知；</w:t>
      </w:r>
    </w:p>
    <w:p>
      <w:pPr>
        <w:spacing w:line="400" w:lineRule="exact"/>
        <w:ind w:firstLine="359" w:firstLineChars="171"/>
        <w:rPr>
          <w:rFonts w:ascii="Times New Roman" w:hAnsi="Times New Roman"/>
        </w:rPr>
      </w:pPr>
      <w:r>
        <w:rPr>
          <w:rFonts w:ascii="Times New Roman" w:hAnsi="Times New Roman"/>
        </w:rPr>
        <w:t>（3）评审办法；</w:t>
      </w:r>
    </w:p>
    <w:p>
      <w:pPr>
        <w:spacing w:line="400" w:lineRule="exact"/>
        <w:ind w:firstLine="359" w:firstLineChars="171"/>
        <w:rPr>
          <w:rFonts w:ascii="Times New Roman" w:hAnsi="Times New Roman"/>
        </w:rPr>
      </w:pPr>
      <w:r>
        <w:rPr>
          <w:rFonts w:ascii="Times New Roman" w:hAnsi="Times New Roman"/>
        </w:rPr>
        <w:t>（4）合同条款及格式；</w:t>
      </w:r>
    </w:p>
    <w:p>
      <w:pPr>
        <w:spacing w:line="400" w:lineRule="exact"/>
        <w:ind w:firstLine="359" w:firstLineChars="171"/>
        <w:rPr>
          <w:rFonts w:ascii="Times New Roman" w:hAnsi="Times New Roman"/>
        </w:rPr>
      </w:pPr>
      <w:r>
        <w:rPr>
          <w:rFonts w:ascii="Times New Roman" w:hAnsi="Times New Roman"/>
        </w:rPr>
        <w:t>（5）采购需求；</w:t>
      </w:r>
    </w:p>
    <w:p>
      <w:pPr>
        <w:spacing w:line="400" w:lineRule="exact"/>
        <w:ind w:firstLine="359" w:firstLineChars="171"/>
        <w:rPr>
          <w:rFonts w:ascii="Times New Roman" w:hAnsi="Times New Roman"/>
        </w:rPr>
      </w:pPr>
      <w:r>
        <w:rPr>
          <w:rFonts w:ascii="Times New Roman" w:hAnsi="Times New Roman"/>
        </w:rPr>
        <w:t>（6）响应文件格式；</w:t>
      </w:r>
    </w:p>
    <w:p>
      <w:pPr>
        <w:spacing w:line="400" w:lineRule="exact"/>
        <w:ind w:firstLine="359" w:firstLineChars="171"/>
        <w:rPr>
          <w:rFonts w:ascii="Times New Roman" w:hAnsi="Times New Roman"/>
        </w:rPr>
      </w:pPr>
      <w:r>
        <w:rPr>
          <w:rFonts w:ascii="Times New Roman" w:hAnsi="Times New Roman"/>
        </w:rPr>
        <w:t>（7）供应商须知前附表规定的其他资料。</w:t>
      </w:r>
    </w:p>
    <w:p>
      <w:pPr>
        <w:spacing w:line="400" w:lineRule="exact"/>
        <w:ind w:firstLine="420" w:firstLineChars="200"/>
        <w:rPr>
          <w:rFonts w:ascii="Times New Roman" w:hAnsi="Times New Roman"/>
        </w:rPr>
      </w:pPr>
      <w:r>
        <w:rPr>
          <w:rFonts w:ascii="Times New Roman" w:hAnsi="Times New Roman"/>
        </w:rPr>
        <w:t>采购人依照本章规定，对采购文件所做的澄清、修改，构成采购文件的组成部分。</w:t>
      </w:r>
    </w:p>
    <w:bookmarkEnd w:id="99"/>
    <w:p>
      <w:pPr>
        <w:pStyle w:val="7"/>
        <w:spacing w:line="240" w:lineRule="auto"/>
        <w:ind w:firstLine="137"/>
        <w:rPr>
          <w:rFonts w:ascii="Times New Roman" w:hAnsi="Times New Roman"/>
        </w:rPr>
      </w:pPr>
      <w:bookmarkStart w:id="100" w:name="_Toc501460664"/>
      <w:bookmarkStart w:id="101" w:name="_Toc485303289"/>
      <w:bookmarkStart w:id="102" w:name="_Toc81853749"/>
      <w:bookmarkStart w:id="103" w:name="_Toc247527564"/>
      <w:bookmarkStart w:id="104" w:name="_Toc369531526"/>
      <w:bookmarkStart w:id="105" w:name="_Toc144974508"/>
      <w:bookmarkStart w:id="106" w:name="_Toc16623"/>
      <w:bookmarkStart w:id="107" w:name="_Toc361508595"/>
      <w:bookmarkStart w:id="108" w:name="_Toc247513963"/>
      <w:bookmarkStart w:id="109" w:name="_Toc152042316"/>
      <w:bookmarkStart w:id="110" w:name="_Toc384308220"/>
      <w:bookmarkStart w:id="111" w:name="_Toc352691484"/>
      <w:bookmarkStart w:id="112" w:name="_Toc300834960"/>
      <w:bookmarkStart w:id="113" w:name="_Toc152045540"/>
      <w:r>
        <w:rPr>
          <w:rFonts w:ascii="Times New Roman" w:hAnsi="Times New Roman"/>
        </w:rPr>
        <w:t>2.2 采购文件的澄清</w:t>
      </w:r>
      <w:bookmarkEnd w:id="100"/>
      <w:bookmarkEnd w:id="101"/>
      <w:r>
        <w:rPr>
          <w:rFonts w:ascii="Times New Roman" w:hAnsi="Times New Roman"/>
        </w:rPr>
        <w:t>和修改</w:t>
      </w:r>
      <w:bookmarkEnd w:id="102"/>
    </w:p>
    <w:p>
      <w:pPr>
        <w:spacing w:line="400" w:lineRule="exact"/>
        <w:ind w:firstLine="420" w:firstLineChars="200"/>
        <w:rPr>
          <w:rFonts w:ascii="Times New Roman" w:hAnsi="Times New Roman"/>
        </w:rPr>
      </w:pPr>
      <w:bookmarkStart w:id="114" w:name="_Toc485303290"/>
      <w:bookmarkStart w:id="115" w:name="_Toc352691479"/>
      <w:r>
        <w:rPr>
          <w:rFonts w:ascii="Times New Roman" w:hAnsi="Times New Roman"/>
        </w:rPr>
        <w:t>2.2.1 供应商应仔细阅读和检查采购文件的全部内容。如发现缺页或附件不全，应及时向采购人提出，以便补齐。如有疑问，应在</w:t>
      </w:r>
      <w:r>
        <w:rPr>
          <w:rFonts w:ascii="Times New Roman" w:hAnsi="Times New Roman" w:eastAsia="黑体"/>
          <w:iCs/>
        </w:rPr>
        <w:t>供应商须知前附表</w:t>
      </w:r>
      <w:r>
        <w:rPr>
          <w:rFonts w:ascii="Times New Roman" w:hAnsi="Times New Roman"/>
        </w:rPr>
        <w:t>规定的时间内，以书面形式要求采购人对采购文件予以澄清。</w:t>
      </w:r>
    </w:p>
    <w:p>
      <w:pPr>
        <w:spacing w:line="400" w:lineRule="exact"/>
        <w:ind w:firstLine="420" w:firstLineChars="200"/>
        <w:rPr>
          <w:rFonts w:ascii="Times New Roman" w:hAnsi="Times New Roman"/>
        </w:rPr>
      </w:pPr>
      <w:r>
        <w:rPr>
          <w:rFonts w:ascii="Times New Roman" w:hAnsi="Times New Roman"/>
        </w:rPr>
        <w:t>2.2.2 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pPr>
        <w:spacing w:line="400" w:lineRule="exact"/>
        <w:ind w:firstLine="420" w:firstLineChars="200"/>
        <w:rPr>
          <w:rFonts w:ascii="Times New Roman" w:hAnsi="Times New Roman"/>
        </w:rPr>
      </w:pPr>
      <w:r>
        <w:rPr>
          <w:rFonts w:ascii="Times New Roman" w:hAnsi="Times New Roman"/>
        </w:rPr>
        <w:t>2.2.3 供应商在收到补充文件后，应按</w:t>
      </w:r>
      <w:r>
        <w:rPr>
          <w:rFonts w:ascii="Times New Roman" w:hAnsi="Times New Roman" w:eastAsia="黑体"/>
          <w:iCs/>
        </w:rPr>
        <w:t>供应商须知前附表</w:t>
      </w:r>
      <w:r>
        <w:rPr>
          <w:rFonts w:ascii="Times New Roman" w:hAnsi="Times New Roman"/>
        </w:rPr>
        <w:t>规定的时间和方式通知采购人，确认已收到该补充文件。</w:t>
      </w:r>
    </w:p>
    <w:p>
      <w:pPr>
        <w:spacing w:line="400" w:lineRule="exact"/>
        <w:ind w:firstLine="420" w:firstLineChars="200"/>
        <w:rPr>
          <w:rFonts w:ascii="Times New Roman" w:hAnsi="Times New Roman"/>
        </w:rPr>
      </w:pPr>
      <w:r>
        <w:rPr>
          <w:rFonts w:ascii="Times New Roman" w:hAnsi="Times New Roman"/>
        </w:rPr>
        <w:t>2.2.4 除非确有必要，采购人有权拒绝回复供应商在本章第2.2.1项规定的时间后提出的任何澄清要求。</w:t>
      </w:r>
    </w:p>
    <w:bookmarkEnd w:id="103"/>
    <w:bookmarkEnd w:id="104"/>
    <w:bookmarkEnd w:id="105"/>
    <w:bookmarkEnd w:id="106"/>
    <w:bookmarkEnd w:id="107"/>
    <w:bookmarkEnd w:id="108"/>
    <w:bookmarkEnd w:id="109"/>
    <w:bookmarkEnd w:id="110"/>
    <w:bookmarkEnd w:id="111"/>
    <w:bookmarkEnd w:id="112"/>
    <w:bookmarkEnd w:id="113"/>
    <w:bookmarkEnd w:id="114"/>
    <w:bookmarkEnd w:id="115"/>
    <w:p>
      <w:pPr>
        <w:pStyle w:val="6"/>
        <w:rPr>
          <w:rFonts w:ascii="Times New Roman" w:hAnsi="Times New Roman"/>
        </w:rPr>
      </w:pPr>
      <w:bookmarkStart w:id="116" w:name="_Toc501460667"/>
      <w:bookmarkStart w:id="117" w:name="_Toc81853750"/>
      <w:r>
        <w:rPr>
          <w:rFonts w:ascii="Times New Roman" w:hAnsi="Times New Roman"/>
        </w:rPr>
        <w:t xml:space="preserve">3. </w:t>
      </w:r>
      <w:bookmarkEnd w:id="116"/>
      <w:r>
        <w:rPr>
          <w:rFonts w:ascii="Times New Roman" w:hAnsi="Times New Roman"/>
        </w:rPr>
        <w:t>响应文件</w:t>
      </w:r>
      <w:bookmarkEnd w:id="117"/>
    </w:p>
    <w:p>
      <w:pPr>
        <w:pStyle w:val="7"/>
        <w:spacing w:line="240" w:lineRule="auto"/>
        <w:ind w:firstLine="137"/>
        <w:rPr>
          <w:rFonts w:ascii="Times New Roman" w:hAnsi="Times New Roman"/>
        </w:rPr>
      </w:pPr>
      <w:bookmarkStart w:id="118" w:name="_Toc501460668"/>
      <w:bookmarkStart w:id="119" w:name="_Toc81853751"/>
      <w:r>
        <w:rPr>
          <w:rFonts w:ascii="Times New Roman" w:hAnsi="Times New Roman"/>
        </w:rPr>
        <w:t>3.1 响应文件的组成</w:t>
      </w:r>
      <w:bookmarkEnd w:id="118"/>
      <w:bookmarkEnd w:id="119"/>
    </w:p>
    <w:p>
      <w:pPr>
        <w:spacing w:line="400" w:lineRule="exact"/>
        <w:ind w:firstLine="420" w:firstLineChars="200"/>
        <w:rPr>
          <w:rFonts w:ascii="Times New Roman" w:hAnsi="Times New Roman"/>
        </w:rPr>
      </w:pPr>
      <w:r>
        <w:rPr>
          <w:rFonts w:ascii="Times New Roman" w:hAnsi="Times New Roman"/>
        </w:rPr>
        <w:t>3.1.1 响应文件应包括下列内容：</w:t>
      </w:r>
    </w:p>
    <w:p>
      <w:pPr>
        <w:spacing w:line="400" w:lineRule="exact"/>
        <w:ind w:firstLine="420" w:firstLineChars="200"/>
        <w:rPr>
          <w:rFonts w:ascii="Times New Roman" w:hAnsi="Times New Roman"/>
        </w:rPr>
      </w:pPr>
      <w:r>
        <w:rPr>
          <w:rFonts w:ascii="Times New Roman" w:hAnsi="Times New Roman"/>
        </w:rPr>
        <w:t>（1）响应函；</w:t>
      </w:r>
    </w:p>
    <w:p>
      <w:pPr>
        <w:spacing w:line="400" w:lineRule="exact"/>
        <w:ind w:firstLine="420" w:firstLineChars="200"/>
        <w:rPr>
          <w:rFonts w:ascii="Times New Roman" w:hAnsi="Times New Roman"/>
        </w:rPr>
      </w:pPr>
      <w:r>
        <w:rPr>
          <w:rFonts w:ascii="Times New Roman" w:hAnsi="Times New Roman"/>
        </w:rPr>
        <w:t>（2）法人代表身份证明；</w:t>
      </w:r>
    </w:p>
    <w:p>
      <w:pPr>
        <w:spacing w:line="400" w:lineRule="exact"/>
        <w:ind w:firstLine="420" w:firstLineChars="200"/>
        <w:rPr>
          <w:rFonts w:ascii="Times New Roman" w:hAnsi="Times New Roman"/>
        </w:rPr>
      </w:pPr>
      <w:r>
        <w:rPr>
          <w:rFonts w:ascii="Times New Roman" w:hAnsi="Times New Roman"/>
        </w:rPr>
        <w:t>（3）授权委托书（如有）；</w:t>
      </w:r>
    </w:p>
    <w:p>
      <w:pPr>
        <w:spacing w:line="400" w:lineRule="exact"/>
        <w:ind w:firstLine="420" w:firstLineChars="200"/>
        <w:rPr>
          <w:rFonts w:ascii="Times New Roman" w:hAnsi="Times New Roman"/>
        </w:rPr>
      </w:pPr>
      <w:r>
        <w:rPr>
          <w:rFonts w:ascii="Times New Roman" w:hAnsi="Times New Roman"/>
        </w:rPr>
        <w:t>（4）联合体协议书（如有）；</w:t>
      </w:r>
    </w:p>
    <w:p>
      <w:pPr>
        <w:spacing w:line="400" w:lineRule="exact"/>
        <w:ind w:firstLine="420" w:firstLineChars="200"/>
        <w:rPr>
          <w:rFonts w:ascii="Times New Roman" w:hAnsi="Times New Roman"/>
        </w:rPr>
      </w:pPr>
      <w:r>
        <w:rPr>
          <w:rFonts w:ascii="Times New Roman" w:hAnsi="Times New Roman"/>
        </w:rPr>
        <w:t>（5）响应保证金（如有）；</w:t>
      </w:r>
    </w:p>
    <w:p>
      <w:pPr>
        <w:spacing w:line="400" w:lineRule="exact"/>
        <w:ind w:firstLine="420" w:firstLineChars="200"/>
        <w:rPr>
          <w:rFonts w:ascii="Times New Roman" w:hAnsi="Times New Roman"/>
        </w:rPr>
      </w:pPr>
      <w:r>
        <w:rPr>
          <w:rFonts w:ascii="Times New Roman" w:hAnsi="Times New Roman"/>
        </w:rPr>
        <w:t>（6）商务和技术偏差表；</w:t>
      </w:r>
    </w:p>
    <w:p>
      <w:pPr>
        <w:spacing w:line="400" w:lineRule="exact"/>
        <w:ind w:firstLine="420" w:firstLineChars="200"/>
        <w:rPr>
          <w:rFonts w:ascii="Times New Roman" w:hAnsi="Times New Roman"/>
        </w:rPr>
      </w:pPr>
      <w:r>
        <w:rPr>
          <w:rFonts w:ascii="Times New Roman" w:hAnsi="Times New Roman"/>
        </w:rPr>
        <w:t>（7）报价表；</w:t>
      </w:r>
    </w:p>
    <w:p>
      <w:pPr>
        <w:spacing w:line="400" w:lineRule="exact"/>
        <w:ind w:firstLine="420" w:firstLineChars="200"/>
        <w:rPr>
          <w:rFonts w:ascii="Times New Roman" w:hAnsi="Times New Roman"/>
        </w:rPr>
      </w:pPr>
      <w:r>
        <w:rPr>
          <w:rFonts w:ascii="Times New Roman" w:hAnsi="Times New Roman"/>
        </w:rPr>
        <w:t>（8）资格审查资料；</w:t>
      </w:r>
    </w:p>
    <w:p>
      <w:pPr>
        <w:spacing w:line="400" w:lineRule="exact"/>
        <w:ind w:firstLine="420" w:firstLineChars="200"/>
        <w:rPr>
          <w:rFonts w:ascii="Times New Roman" w:hAnsi="Times New Roman"/>
        </w:rPr>
      </w:pPr>
      <w:r>
        <w:rPr>
          <w:rFonts w:ascii="Times New Roman" w:hAnsi="Times New Roman"/>
        </w:rPr>
        <w:t>（9）响应方案；</w:t>
      </w:r>
    </w:p>
    <w:p>
      <w:pPr>
        <w:spacing w:line="400" w:lineRule="exact"/>
        <w:ind w:firstLine="420" w:firstLineChars="200"/>
        <w:rPr>
          <w:rFonts w:ascii="Times New Roman" w:hAnsi="Times New Roman"/>
        </w:rPr>
      </w:pPr>
      <w:r>
        <w:rPr>
          <w:rFonts w:ascii="Times New Roman" w:hAnsi="Times New Roman"/>
        </w:rPr>
        <w:t>（10）</w:t>
      </w:r>
      <w:r>
        <w:rPr>
          <w:rFonts w:ascii="Times New Roman" w:hAnsi="Times New Roman" w:eastAsia="黑体"/>
          <w:iCs/>
        </w:rPr>
        <w:t>供应商须知前附表</w:t>
      </w:r>
      <w:r>
        <w:rPr>
          <w:rFonts w:ascii="Times New Roman" w:hAnsi="Times New Roman"/>
        </w:rPr>
        <w:t>规定的其他资料。</w:t>
      </w:r>
    </w:p>
    <w:p>
      <w:pPr>
        <w:spacing w:line="400" w:lineRule="exact"/>
        <w:ind w:firstLine="420" w:firstLineChars="200"/>
        <w:rPr>
          <w:rFonts w:ascii="Times New Roman" w:hAnsi="Times New Roman"/>
        </w:rPr>
      </w:pPr>
      <w:r>
        <w:rPr>
          <w:rFonts w:ascii="Times New Roman" w:hAnsi="Times New Roman"/>
        </w:rPr>
        <w:t>供应商在评审过程中作出的符合采购文件要求的澄清、说明和补正，构成响应文件的组成部分。</w:t>
      </w:r>
    </w:p>
    <w:p>
      <w:pPr>
        <w:spacing w:line="400" w:lineRule="exact"/>
        <w:ind w:firstLine="359" w:firstLineChars="171"/>
        <w:rPr>
          <w:rFonts w:ascii="Times New Roman" w:hAnsi="Times New Roman"/>
        </w:rPr>
      </w:pPr>
      <w:r>
        <w:rPr>
          <w:rFonts w:ascii="Times New Roman" w:hAnsi="Times New Roman"/>
        </w:rPr>
        <w:t>3.1.2 供应商的法定代表人（单位负责人）亲自签署响应文件、亲自参加询比的，响应文件不包括第3.1.1（3）目所指的授权委托书；第一章“询比采购公告/询比采购邀请书”规定不接受联合体的，或供应商没有组成联合体的，响应文件不包括第3.1.1（4）目所指的联合体协议书。供应商须知前附表未要求供应商递交响应保证金的，响应文件不包括第3.1.1（5）目所指的响应保证金。</w:t>
      </w:r>
    </w:p>
    <w:p>
      <w:pPr>
        <w:pStyle w:val="7"/>
        <w:spacing w:line="240" w:lineRule="auto"/>
        <w:ind w:firstLine="137"/>
        <w:rPr>
          <w:rFonts w:ascii="Times New Roman" w:hAnsi="Times New Roman"/>
        </w:rPr>
      </w:pPr>
      <w:bookmarkStart w:id="120" w:name="_Toc501460669"/>
      <w:bookmarkStart w:id="121" w:name="_Toc81853752"/>
      <w:r>
        <w:rPr>
          <w:rFonts w:ascii="Times New Roman" w:hAnsi="Times New Roman"/>
        </w:rPr>
        <w:t>3.2 报价</w:t>
      </w:r>
      <w:bookmarkEnd w:id="120"/>
      <w:bookmarkEnd w:id="121"/>
    </w:p>
    <w:p>
      <w:pPr>
        <w:spacing w:line="400" w:lineRule="exact"/>
        <w:ind w:firstLine="420" w:firstLineChars="200"/>
        <w:rPr>
          <w:rFonts w:ascii="Times New Roman" w:hAnsi="Times New Roman"/>
        </w:rPr>
      </w:pPr>
      <w:r>
        <w:rPr>
          <w:rFonts w:ascii="Times New Roman" w:hAnsi="Times New Roman"/>
        </w:rPr>
        <w:t>3.2.1 供应商应按采购文件提供的格式（见第六章“响应文件格式”）在响应函和报价表中进行报价。响应函中报价应为包含国家规定的增值税在内的含税价格，同时应列明不含税价格和增值税税额。采购人将根据项目情况，在第四章“评审办法”第2.2.2项中选择按照含税价格或不含税价格对供应商进行价格评审。</w:t>
      </w:r>
    </w:p>
    <w:p>
      <w:pPr>
        <w:spacing w:line="400" w:lineRule="exact"/>
        <w:ind w:firstLine="420" w:firstLineChars="200"/>
        <w:rPr>
          <w:rFonts w:ascii="Times New Roman" w:hAnsi="Times New Roman"/>
          <w:szCs w:val="21"/>
        </w:rPr>
      </w:pPr>
      <w:r>
        <w:rPr>
          <w:rFonts w:ascii="Times New Roman" w:hAnsi="Times New Roman"/>
        </w:rPr>
        <w:t>3.2.2 供应商应充分了解采购项目的总体情况以及影响报价的其他要素。对于货物和服务采购项目，</w:t>
      </w:r>
      <w:r>
        <w:rPr>
          <w:rFonts w:ascii="Times New Roman" w:hAnsi="Times New Roman"/>
          <w:szCs w:val="21"/>
        </w:rPr>
        <w:t>采购人在签署成交合同时及合同履行过程中，有权在</w:t>
      </w:r>
      <w:r>
        <w:rPr>
          <w:rFonts w:ascii="Times New Roman" w:hAnsi="Times New Roman" w:eastAsia="黑体"/>
          <w:iCs/>
        </w:rPr>
        <w:t>供应商须知前附表</w:t>
      </w:r>
      <w:r>
        <w:rPr>
          <w:rFonts w:ascii="Times New Roman" w:hAnsi="Times New Roman"/>
          <w:szCs w:val="21"/>
        </w:rPr>
        <w:t>规定的幅度内</w:t>
      </w:r>
      <w:r>
        <w:rPr>
          <w:rFonts w:ascii="Times New Roman" w:hAnsi="Times New Roman"/>
        </w:rPr>
        <w:t>对采购标的的数量进行</w:t>
      </w:r>
      <w:r>
        <w:rPr>
          <w:rFonts w:ascii="Times New Roman" w:hAnsi="Times New Roman"/>
          <w:szCs w:val="21"/>
        </w:rPr>
        <w:t>增加或减少。</w:t>
      </w:r>
    </w:p>
    <w:p>
      <w:pPr>
        <w:spacing w:line="400" w:lineRule="exact"/>
        <w:ind w:firstLine="420" w:firstLineChars="200"/>
        <w:rPr>
          <w:rFonts w:ascii="Times New Roman" w:hAnsi="Times New Roman"/>
        </w:rPr>
      </w:pPr>
      <w:r>
        <w:rPr>
          <w:rFonts w:ascii="Times New Roman" w:hAnsi="Times New Roman"/>
        </w:rPr>
        <w:t>3.2.3 采购人设有最高限价的，供应商的报价不得超过最高限价。最高限价或最高限价计算方法在</w:t>
      </w:r>
      <w:bookmarkStart w:id="122" w:name="_Toc300834965"/>
      <w:bookmarkStart w:id="123" w:name="_Toc352691488"/>
      <w:bookmarkStart w:id="124" w:name="_Toc384308225"/>
      <w:bookmarkStart w:id="125" w:name="_Toc152045544"/>
      <w:bookmarkStart w:id="126" w:name="_Toc144974512"/>
      <w:bookmarkStart w:id="127" w:name="_Toc247513968"/>
      <w:bookmarkStart w:id="128" w:name="_Toc152042320"/>
      <w:bookmarkStart w:id="129" w:name="_Toc10429"/>
      <w:bookmarkStart w:id="130" w:name="_Toc361508600"/>
      <w:bookmarkStart w:id="131" w:name="_Toc247527569"/>
      <w:bookmarkStart w:id="132" w:name="_Toc369531531"/>
      <w:r>
        <w:rPr>
          <w:rFonts w:ascii="Times New Roman" w:hAnsi="Times New Roman" w:eastAsia="黑体"/>
          <w:iCs/>
        </w:rPr>
        <w:t>供应商须知前附表</w:t>
      </w:r>
      <w:r>
        <w:rPr>
          <w:rFonts w:ascii="Times New Roman" w:hAnsi="Times New Roman"/>
        </w:rPr>
        <w:t>中载明。</w:t>
      </w:r>
      <w:bookmarkEnd w:id="122"/>
      <w:bookmarkEnd w:id="123"/>
      <w:bookmarkEnd w:id="124"/>
      <w:bookmarkEnd w:id="125"/>
      <w:bookmarkEnd w:id="126"/>
      <w:bookmarkEnd w:id="127"/>
      <w:bookmarkEnd w:id="128"/>
      <w:bookmarkEnd w:id="129"/>
      <w:bookmarkEnd w:id="130"/>
      <w:bookmarkEnd w:id="131"/>
      <w:bookmarkEnd w:id="132"/>
    </w:p>
    <w:p>
      <w:pPr>
        <w:spacing w:line="400" w:lineRule="exact"/>
        <w:ind w:firstLine="420" w:firstLineChars="200"/>
        <w:rPr>
          <w:rFonts w:ascii="Times New Roman" w:hAnsi="Times New Roman"/>
        </w:rPr>
      </w:pPr>
      <w:r>
        <w:rPr>
          <w:rFonts w:ascii="Times New Roman" w:hAnsi="Times New Roman"/>
        </w:rPr>
        <w:t>3.2.4 报价的其他要求见</w:t>
      </w:r>
      <w:r>
        <w:rPr>
          <w:rFonts w:ascii="Times New Roman" w:hAnsi="Times New Roman" w:eastAsia="黑体"/>
          <w:iCs/>
        </w:rPr>
        <w:t>供应商须知前附表</w:t>
      </w:r>
      <w:r>
        <w:rPr>
          <w:rFonts w:ascii="Times New Roman" w:hAnsi="Times New Roman"/>
        </w:rPr>
        <w:t>。</w:t>
      </w:r>
    </w:p>
    <w:p>
      <w:pPr>
        <w:pStyle w:val="7"/>
        <w:spacing w:line="240" w:lineRule="auto"/>
        <w:ind w:firstLine="137"/>
        <w:rPr>
          <w:rFonts w:ascii="Times New Roman" w:hAnsi="Times New Roman"/>
        </w:rPr>
      </w:pPr>
      <w:bookmarkStart w:id="133" w:name="_Toc81853753"/>
      <w:bookmarkStart w:id="134" w:name="_Toc501460670"/>
      <w:r>
        <w:rPr>
          <w:rFonts w:ascii="Times New Roman" w:hAnsi="Times New Roman"/>
        </w:rPr>
        <w:t>3.3 响应文件有效期</w:t>
      </w:r>
      <w:bookmarkEnd w:id="133"/>
      <w:bookmarkEnd w:id="134"/>
    </w:p>
    <w:p>
      <w:pPr>
        <w:spacing w:line="400" w:lineRule="exact"/>
        <w:ind w:firstLine="420" w:firstLineChars="200"/>
        <w:rPr>
          <w:rFonts w:ascii="Times New Roman" w:hAnsi="Times New Roman"/>
        </w:rPr>
      </w:pPr>
      <w:r>
        <w:rPr>
          <w:rFonts w:ascii="Times New Roman" w:hAnsi="Times New Roman"/>
        </w:rPr>
        <w:t>3.3.1 除</w:t>
      </w:r>
      <w:r>
        <w:rPr>
          <w:rFonts w:ascii="Times New Roman" w:hAnsi="Times New Roman" w:eastAsia="黑体"/>
          <w:iCs/>
        </w:rPr>
        <w:t>供应商须知前附表</w:t>
      </w:r>
      <w:r>
        <w:rPr>
          <w:rFonts w:ascii="Times New Roman" w:hAnsi="Times New Roman"/>
        </w:rPr>
        <w:t>另有规定外，响应文件有效期应为90日，从采购文件规定的递交响应文件的截止时间开始计算。</w:t>
      </w:r>
    </w:p>
    <w:p>
      <w:pPr>
        <w:spacing w:line="400" w:lineRule="exact"/>
        <w:ind w:firstLine="420" w:firstLineChars="200"/>
        <w:rPr>
          <w:rFonts w:ascii="Times New Roman" w:hAnsi="Times New Roman"/>
        </w:rPr>
      </w:pPr>
      <w:r>
        <w:rPr>
          <w:rFonts w:ascii="Times New Roman" w:hAnsi="Times New Roman"/>
        </w:rPr>
        <w:t>3.3.2 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pStyle w:val="7"/>
        <w:spacing w:line="240" w:lineRule="auto"/>
        <w:ind w:firstLine="137"/>
        <w:rPr>
          <w:rFonts w:ascii="Times New Roman" w:hAnsi="Times New Roman"/>
        </w:rPr>
      </w:pPr>
      <w:bookmarkStart w:id="135" w:name="_Toc501460671"/>
      <w:bookmarkStart w:id="136" w:name="_Toc81853754"/>
      <w:r>
        <w:rPr>
          <w:rFonts w:ascii="Times New Roman" w:hAnsi="Times New Roman"/>
        </w:rPr>
        <w:t xml:space="preserve">3.4 </w:t>
      </w:r>
      <w:bookmarkEnd w:id="135"/>
      <w:r>
        <w:rPr>
          <w:rFonts w:ascii="Times New Roman" w:hAnsi="Times New Roman"/>
        </w:rPr>
        <w:t>响应保证金</w:t>
      </w:r>
      <w:bookmarkEnd w:id="136"/>
    </w:p>
    <w:p>
      <w:pPr>
        <w:spacing w:line="400" w:lineRule="exact"/>
        <w:ind w:firstLine="420" w:firstLineChars="200"/>
        <w:rPr>
          <w:rFonts w:ascii="Times New Roman" w:hAnsi="Times New Roman"/>
        </w:rPr>
      </w:pPr>
      <w:r>
        <w:rPr>
          <w:rFonts w:ascii="Times New Roman" w:hAnsi="Times New Roman"/>
        </w:rPr>
        <w:t xml:space="preserve">3.4.1 </w:t>
      </w:r>
      <w:r>
        <w:rPr>
          <w:rFonts w:ascii="Times New Roman" w:hAnsi="Times New Roman" w:eastAsia="黑体"/>
          <w:iCs/>
        </w:rPr>
        <w:t>供应商须知前附表</w:t>
      </w:r>
      <w:r>
        <w:rPr>
          <w:rFonts w:ascii="Times New Roman" w:hAnsi="Times New Roman"/>
        </w:rPr>
        <w:t>规定要求递交响应保证金的，供应商在递交响应文件的同时，应按供应商须知前附表规定的金额</w:t>
      </w:r>
      <w:bookmarkStart w:id="137" w:name="_Toc152042321"/>
      <w:bookmarkStart w:id="138" w:name="_Toc247527570"/>
      <w:bookmarkStart w:id="139" w:name="_Toc352691489"/>
      <w:bookmarkStart w:id="140" w:name="_Toc4592"/>
      <w:bookmarkStart w:id="141" w:name="_Toc384308226"/>
      <w:bookmarkStart w:id="142" w:name="_Toc361508601"/>
      <w:bookmarkStart w:id="143" w:name="_Toc300834966"/>
      <w:bookmarkStart w:id="144" w:name="_Toc152045545"/>
      <w:bookmarkStart w:id="145" w:name="_Toc144974513"/>
      <w:bookmarkStart w:id="146" w:name="_Toc369531532"/>
      <w:bookmarkStart w:id="147" w:name="_Toc247513969"/>
      <w:r>
        <w:rPr>
          <w:rFonts w:ascii="Times New Roman" w:hAnsi="Times New Roman"/>
        </w:rPr>
        <w:t>、形式和采购文件提供的格式（见第六章“响应文件格式”四、响应保证金</w:t>
      </w:r>
      <w:bookmarkEnd w:id="137"/>
      <w:bookmarkEnd w:id="138"/>
      <w:bookmarkEnd w:id="139"/>
      <w:bookmarkEnd w:id="140"/>
      <w:bookmarkEnd w:id="141"/>
      <w:bookmarkEnd w:id="142"/>
      <w:bookmarkEnd w:id="143"/>
      <w:bookmarkEnd w:id="144"/>
      <w:bookmarkEnd w:id="145"/>
      <w:bookmarkEnd w:id="146"/>
      <w:bookmarkEnd w:id="147"/>
      <w:r>
        <w:rPr>
          <w:rFonts w:ascii="Times New Roman" w:hAnsi="Times New Roman"/>
        </w:rPr>
        <w:t>）递交响应保证金，并作为其响应文件的组成部分。供应商不按要求递交响应保证金的，其响应文件将被视为无效。</w:t>
      </w:r>
    </w:p>
    <w:p>
      <w:pPr>
        <w:spacing w:line="400" w:lineRule="exact"/>
        <w:ind w:firstLine="420" w:firstLineChars="200"/>
        <w:rPr>
          <w:rFonts w:ascii="Times New Roman" w:hAnsi="Times New Roman"/>
        </w:rPr>
      </w:pPr>
      <w:r>
        <w:rPr>
          <w:rFonts w:ascii="Times New Roman" w:hAnsi="Times New Roman"/>
        </w:rPr>
        <w:t xml:space="preserve">3.4.2 </w:t>
      </w:r>
      <w:r>
        <w:rPr>
          <w:rFonts w:ascii="Times New Roman" w:hAnsi="Times New Roman" w:eastAsia="黑体"/>
          <w:iCs/>
        </w:rPr>
        <w:t>除供应商须知前附表</w:t>
      </w:r>
      <w:r>
        <w:rPr>
          <w:rFonts w:ascii="Times New Roman" w:hAnsi="Times New Roman"/>
        </w:rPr>
        <w:t>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pPr>
        <w:spacing w:line="400" w:lineRule="exact"/>
        <w:ind w:firstLine="420" w:firstLineChars="200"/>
        <w:rPr>
          <w:rFonts w:ascii="Times New Roman" w:hAnsi="Times New Roman"/>
        </w:rPr>
      </w:pPr>
      <w:r>
        <w:rPr>
          <w:rFonts w:ascii="Times New Roman" w:hAnsi="Times New Roman"/>
        </w:rPr>
        <w:t>3.4.3 有下列情形之一的，响应保证金将不予退还：</w:t>
      </w:r>
    </w:p>
    <w:p>
      <w:pPr>
        <w:spacing w:line="400" w:lineRule="exact"/>
        <w:ind w:firstLine="315" w:firstLineChars="150"/>
        <w:rPr>
          <w:rFonts w:ascii="Times New Roman" w:hAnsi="Times New Roman"/>
        </w:rPr>
      </w:pPr>
      <w:r>
        <w:rPr>
          <w:rFonts w:ascii="Times New Roman" w:hAnsi="Times New Roman"/>
        </w:rPr>
        <w:t>（1）供应商在响应文件有效期内撤销响应文件；</w:t>
      </w:r>
    </w:p>
    <w:p>
      <w:pPr>
        <w:spacing w:line="400" w:lineRule="exact"/>
        <w:ind w:firstLine="315" w:firstLineChars="150"/>
        <w:rPr>
          <w:rFonts w:ascii="Times New Roman" w:hAnsi="Times New Roman"/>
        </w:rPr>
      </w:pPr>
      <w:r>
        <w:rPr>
          <w:rFonts w:ascii="Times New Roman" w:hAnsi="Times New Roman"/>
        </w:rPr>
        <w:t>（2）成交供应商在收到成交通知书后，无正当理由不与采购人订立合同，在签订合同时向采购人提出附加条件，或者不按照采购文件要求递交履约保证金；</w:t>
      </w:r>
    </w:p>
    <w:p>
      <w:pPr>
        <w:spacing w:line="400" w:lineRule="exact"/>
        <w:ind w:firstLine="420" w:firstLineChars="200"/>
        <w:rPr>
          <w:rFonts w:ascii="Times New Roman" w:hAnsi="Times New Roman"/>
        </w:rPr>
      </w:pPr>
      <w:r>
        <w:rPr>
          <w:rFonts w:ascii="Times New Roman" w:hAnsi="Times New Roman"/>
        </w:rPr>
        <w:t>（3）发生</w:t>
      </w:r>
      <w:r>
        <w:rPr>
          <w:rFonts w:ascii="Times New Roman" w:hAnsi="Times New Roman" w:eastAsia="黑体"/>
          <w:iCs/>
        </w:rPr>
        <w:t>供应商须知前附表</w:t>
      </w:r>
      <w:r>
        <w:rPr>
          <w:rFonts w:ascii="Times New Roman" w:hAnsi="Times New Roman"/>
          <w:szCs w:val="21"/>
        </w:rPr>
        <w:t>规定的其他不予退还响应保证金的情形</w:t>
      </w:r>
      <w:r>
        <w:rPr>
          <w:rFonts w:ascii="Times New Roman" w:hAnsi="Times New Roman"/>
        </w:rPr>
        <w:t>。</w:t>
      </w:r>
    </w:p>
    <w:p>
      <w:pPr>
        <w:pStyle w:val="7"/>
        <w:spacing w:line="240" w:lineRule="auto"/>
        <w:ind w:firstLine="137"/>
        <w:rPr>
          <w:rFonts w:ascii="Times New Roman" w:hAnsi="Times New Roman"/>
        </w:rPr>
      </w:pPr>
      <w:bookmarkStart w:id="148" w:name="_Toc81853755"/>
      <w:bookmarkStart w:id="149" w:name="_Toc501460673"/>
      <w:r>
        <w:rPr>
          <w:rFonts w:ascii="Times New Roman" w:hAnsi="Times New Roman"/>
        </w:rPr>
        <w:t>3.5 资格审查资料</w:t>
      </w:r>
      <w:bookmarkEnd w:id="148"/>
      <w:bookmarkEnd w:id="149"/>
    </w:p>
    <w:p>
      <w:pPr>
        <w:spacing w:line="400" w:lineRule="exact"/>
        <w:ind w:firstLine="420" w:firstLineChars="200"/>
        <w:rPr>
          <w:rFonts w:ascii="Times New Roman" w:hAnsi="Times New Roman"/>
        </w:rPr>
      </w:pPr>
      <w:r>
        <w:rPr>
          <w:rFonts w:ascii="Times New Roman" w:hAnsi="Times New Roman"/>
        </w:rPr>
        <w:t>供应商应提供</w:t>
      </w:r>
      <w:r>
        <w:rPr>
          <w:rFonts w:ascii="Times New Roman" w:hAnsi="Times New Roman" w:eastAsia="黑体"/>
          <w:iCs/>
        </w:rPr>
        <w:t>供应商须知前附表3.5（1）-3.5（9）中</w:t>
      </w:r>
      <w:r>
        <w:rPr>
          <w:rFonts w:ascii="Times New Roman" w:hAnsi="Times New Roman"/>
        </w:rPr>
        <w:t>规定的资格审查资料，以证明其满足第一章“询比采购公告/询比采购邀请书”对供应商的各项资格要求。</w:t>
      </w:r>
    </w:p>
    <w:p>
      <w:pPr>
        <w:pStyle w:val="7"/>
        <w:spacing w:line="240" w:lineRule="auto"/>
        <w:ind w:firstLine="137"/>
        <w:rPr>
          <w:rFonts w:ascii="Times New Roman" w:hAnsi="Times New Roman"/>
        </w:rPr>
      </w:pPr>
      <w:bookmarkStart w:id="150" w:name="_Toc501460674"/>
      <w:bookmarkStart w:id="151" w:name="_Toc81853756"/>
      <w:r>
        <w:rPr>
          <w:rFonts w:ascii="Times New Roman" w:hAnsi="Times New Roman"/>
        </w:rPr>
        <w:t>3.</w:t>
      </w:r>
      <w:bookmarkEnd w:id="150"/>
      <w:r>
        <w:rPr>
          <w:rFonts w:ascii="Times New Roman" w:hAnsi="Times New Roman"/>
        </w:rPr>
        <w:t>6 响应方案</w:t>
      </w:r>
      <w:bookmarkEnd w:id="151"/>
    </w:p>
    <w:p>
      <w:pPr>
        <w:spacing w:line="400" w:lineRule="exact"/>
        <w:ind w:firstLine="420" w:firstLineChars="200"/>
        <w:rPr>
          <w:rFonts w:ascii="Times New Roman" w:hAnsi="Times New Roman"/>
        </w:rPr>
      </w:pPr>
      <w:r>
        <w:rPr>
          <w:rFonts w:ascii="Times New Roman" w:hAnsi="Times New Roman"/>
        </w:rPr>
        <w:t>3.6.1 响应文件应当对采购文件中的实质性内容作出响应。采购需求中明确为关键条款（标记“*”）的，供应商还应按照</w:t>
      </w:r>
      <w:r>
        <w:rPr>
          <w:rFonts w:ascii="Times New Roman" w:hAnsi="Times New Roman" w:eastAsia="黑体"/>
          <w:iCs/>
        </w:rPr>
        <w:t>供应商须知前附表的规定</w:t>
      </w:r>
      <w:r>
        <w:rPr>
          <w:rFonts w:ascii="Times New Roman" w:hAnsi="Times New Roman"/>
        </w:rPr>
        <w:t>提供有关证据或证明材料。</w:t>
      </w:r>
    </w:p>
    <w:p>
      <w:pPr>
        <w:spacing w:line="400" w:lineRule="exact"/>
        <w:ind w:firstLine="420" w:firstLineChars="200"/>
        <w:rPr>
          <w:rFonts w:ascii="Times New Roman" w:hAnsi="Times New Roman"/>
        </w:rPr>
      </w:pPr>
      <w:r>
        <w:rPr>
          <w:rFonts w:ascii="Times New Roman" w:hAnsi="Times New Roman"/>
        </w:rPr>
        <w:t>3.6.2供应商只能提出唯一的响应方案。供应商在响应文件中提出多个响应方案的，其响应文件将被视为无效。</w:t>
      </w:r>
    </w:p>
    <w:p>
      <w:pPr>
        <w:spacing w:line="400" w:lineRule="exact"/>
        <w:ind w:firstLine="420" w:firstLineChars="200"/>
        <w:rPr>
          <w:rFonts w:ascii="Times New Roman" w:hAnsi="Times New Roman"/>
        </w:rPr>
      </w:pPr>
      <w:r>
        <w:rPr>
          <w:rFonts w:ascii="Times New Roman" w:hAnsi="Times New Roman"/>
        </w:rPr>
        <w:t>3.6.3 响应文件对采购文件的全部偏差，均应在响应文件的</w:t>
      </w:r>
      <w:r>
        <w:rPr>
          <w:rFonts w:ascii="Times New Roman" w:hAnsi="Times New Roman"/>
          <w:szCs w:val="21"/>
        </w:rPr>
        <w:t>商务和技术偏差表</w:t>
      </w:r>
      <w:r>
        <w:rPr>
          <w:rFonts w:ascii="Times New Roman" w:hAnsi="Times New Roman"/>
        </w:rPr>
        <w:t>中列明。响应文件偏差表中未列明的内容，将</w:t>
      </w:r>
      <w:r>
        <w:rPr>
          <w:rFonts w:ascii="Times New Roman" w:hAnsi="Times New Roman"/>
          <w:szCs w:val="21"/>
        </w:rPr>
        <w:t>视为供应商响应采购文件的要求；</w:t>
      </w:r>
      <w:r>
        <w:rPr>
          <w:rFonts w:ascii="Times New Roman" w:hAnsi="Times New Roman"/>
        </w:rPr>
        <w:t>但如发现响应文件的其他部分与商务和技术偏差表的描述不一致或供应商的响应缺乏支持性文件，则评审小组有权要求供应商对相关问题进行澄清，并根据澄清结果对供应商的响应文件进行评审。</w:t>
      </w:r>
    </w:p>
    <w:p>
      <w:pPr>
        <w:pStyle w:val="7"/>
        <w:spacing w:line="240" w:lineRule="auto"/>
        <w:ind w:firstLine="137"/>
        <w:rPr>
          <w:rFonts w:ascii="Times New Roman" w:hAnsi="Times New Roman"/>
        </w:rPr>
      </w:pPr>
      <w:bookmarkStart w:id="152" w:name="_Toc501460675"/>
      <w:bookmarkStart w:id="153" w:name="_Toc81853757"/>
      <w:r>
        <w:rPr>
          <w:rFonts w:ascii="Times New Roman" w:hAnsi="Times New Roman"/>
        </w:rPr>
        <w:t>3.7 响应文件的编制</w:t>
      </w:r>
      <w:bookmarkEnd w:id="152"/>
      <w:bookmarkEnd w:id="153"/>
    </w:p>
    <w:p>
      <w:pPr>
        <w:spacing w:line="360" w:lineRule="auto"/>
        <w:ind w:firstLine="420" w:firstLineChars="200"/>
        <w:rPr>
          <w:rFonts w:ascii="Times New Roman" w:hAnsi="Times New Roman"/>
        </w:rPr>
      </w:pPr>
      <w:bookmarkStart w:id="154" w:name="_Toc501460676"/>
      <w:r>
        <w:rPr>
          <w:rFonts w:ascii="Times New Roman" w:hAnsi="Times New Roman"/>
        </w:rPr>
        <w:t>3.7.1 响应文件应按第六章“响应文件格式”进行编写，如有必要，可以增加附页，作为响应文件的组成部分。</w:t>
      </w:r>
    </w:p>
    <w:p>
      <w:pPr>
        <w:pStyle w:val="13"/>
        <w:ind w:firstLine="420" w:firstLineChars="200"/>
        <w:rPr>
          <w:rFonts w:ascii="Times New Roman" w:hAnsi="Times New Roman"/>
          <w:sz w:val="21"/>
        </w:rPr>
      </w:pPr>
      <w:r>
        <w:rPr>
          <w:rFonts w:ascii="Times New Roman" w:hAnsi="Times New Roman"/>
          <w:sz w:val="21"/>
        </w:rPr>
        <w:t>3.7.2响应文件的制作应满足以下规定：</w:t>
      </w:r>
    </w:p>
    <w:p>
      <w:pPr>
        <w:pStyle w:val="13"/>
        <w:ind w:firstLine="420" w:firstLineChars="200"/>
        <w:rPr>
          <w:rFonts w:ascii="Times New Roman" w:hAnsi="Times New Roman"/>
          <w:sz w:val="21"/>
        </w:rPr>
      </w:pPr>
      <w:r>
        <w:rPr>
          <w:rFonts w:ascii="Times New Roman" w:hAnsi="Times New Roman"/>
          <w:sz w:val="21"/>
        </w:rPr>
        <w:t>（1）响应文件由供应商使用“电子交易平台”的“招标采购工具”制作生成，详见供应商须知前附表规定。</w:t>
      </w:r>
    </w:p>
    <w:p>
      <w:pPr>
        <w:pStyle w:val="13"/>
        <w:ind w:firstLine="420" w:firstLineChars="200"/>
        <w:rPr>
          <w:rFonts w:ascii="Times New Roman" w:hAnsi="Times New Roman"/>
          <w:sz w:val="21"/>
        </w:rPr>
      </w:pPr>
      <w:r>
        <w:rPr>
          <w:rFonts w:ascii="Times New Roman" w:hAnsi="Times New Roman"/>
          <w:sz w:val="21"/>
        </w:rPr>
        <w:t>（2）供应商在编制响应文件时应建立分级目录，并按照标签提示导入相关内容。</w:t>
      </w:r>
    </w:p>
    <w:p>
      <w:pPr>
        <w:pStyle w:val="13"/>
        <w:ind w:firstLine="420" w:firstLineChars="200"/>
        <w:rPr>
          <w:rFonts w:ascii="Times New Roman" w:hAnsi="Times New Roman"/>
          <w:sz w:val="21"/>
        </w:rPr>
      </w:pPr>
      <w:r>
        <w:rPr>
          <w:rFonts w:ascii="Times New Roman" w:hAnsi="Times New Roman"/>
          <w:sz w:val="21"/>
        </w:rPr>
        <w:t>（3）除供应商须知前附表另有规定外，响应文件中证明资料的“复印件”均为原件扫描件。</w:t>
      </w:r>
    </w:p>
    <w:p>
      <w:pPr>
        <w:pStyle w:val="13"/>
        <w:ind w:firstLine="420" w:firstLineChars="200"/>
        <w:rPr>
          <w:rFonts w:ascii="Times New Roman" w:hAnsi="Times New Roman"/>
          <w:sz w:val="21"/>
        </w:rPr>
      </w:pPr>
      <w:r>
        <w:rPr>
          <w:rFonts w:ascii="Times New Roman" w:hAnsi="Times New Roman"/>
          <w:sz w:val="21"/>
        </w:rPr>
        <w:t>（4）“响应文件格式”中要求盖单位章和（或）签字的地方，供应商均应使用CA数字证书加盖供应商的单位电子印章和（或）法定代表人的个人电子印章或电子签名章。联合体响应的，响应文件由联合体牵头人按上述规定加盖联合体牵头人单位电子印章和（或）法定代表人的个人电子印章或电子签名章。</w:t>
      </w:r>
    </w:p>
    <w:p>
      <w:pPr>
        <w:pStyle w:val="13"/>
        <w:ind w:firstLine="420" w:firstLineChars="200"/>
        <w:rPr>
          <w:rFonts w:ascii="Times New Roman" w:hAnsi="Times New Roman"/>
          <w:sz w:val="21"/>
        </w:rPr>
      </w:pPr>
      <w:r>
        <w:rPr>
          <w:rFonts w:ascii="Times New Roman" w:hAnsi="Times New Roman"/>
          <w:sz w:val="21"/>
        </w:rPr>
        <w:t>（5）响应文件制作完成后，供应商应使用CA数字证书对响应文件进行文件加密，形成加密的响应文件、非加密的响应文件，以及打印形成的纸质响应文件，非加密的响应文件及纸质响应文件的份数和形式见供应商须知前附表规定。</w:t>
      </w:r>
    </w:p>
    <w:p>
      <w:pPr>
        <w:pStyle w:val="13"/>
        <w:ind w:firstLine="420" w:firstLineChars="200"/>
        <w:rPr>
          <w:rFonts w:ascii="Times New Roman" w:hAnsi="Times New Roman"/>
          <w:sz w:val="21"/>
        </w:rPr>
      </w:pPr>
      <w:r>
        <w:rPr>
          <w:rFonts w:ascii="Times New Roman" w:hAnsi="Times New Roman"/>
          <w:sz w:val="21"/>
        </w:rPr>
        <w:t>（6）响应文件制作的具体方法详见电子交易平台的帮助文档。</w:t>
      </w:r>
    </w:p>
    <w:p>
      <w:pPr>
        <w:widowControl/>
        <w:adjustRightInd w:val="0"/>
        <w:snapToGrid w:val="0"/>
        <w:spacing w:line="360" w:lineRule="auto"/>
        <w:ind w:firstLine="420" w:firstLineChars="200"/>
        <w:rPr>
          <w:rFonts w:ascii="Times New Roman" w:hAnsi="Times New Roman"/>
        </w:rPr>
      </w:pPr>
      <w:r>
        <w:rPr>
          <w:rFonts w:ascii="Times New Roman" w:hAnsi="Times New Roman"/>
        </w:rPr>
        <w:t>3.7.3因供应商自身原因而导致响应文件无法导入“电子交易平台”电子系统的，该响应文件视按无效处理，供应商自行承担由此导致的全部责任。</w:t>
      </w:r>
    </w:p>
    <w:p>
      <w:pPr>
        <w:pStyle w:val="6"/>
        <w:rPr>
          <w:rFonts w:ascii="Times New Roman" w:hAnsi="Times New Roman"/>
        </w:rPr>
      </w:pPr>
      <w:bookmarkStart w:id="155" w:name="_Toc81853758"/>
      <w:r>
        <w:rPr>
          <w:rFonts w:ascii="Times New Roman" w:hAnsi="Times New Roman"/>
        </w:rPr>
        <w:t xml:space="preserve">4. </w:t>
      </w:r>
      <w:bookmarkEnd w:id="154"/>
      <w:r>
        <w:rPr>
          <w:rFonts w:ascii="Times New Roman" w:hAnsi="Times New Roman"/>
        </w:rPr>
        <w:t>响应文件的递交</w:t>
      </w:r>
      <w:bookmarkEnd w:id="155"/>
    </w:p>
    <w:p>
      <w:pPr>
        <w:pStyle w:val="7"/>
        <w:spacing w:line="240" w:lineRule="auto"/>
        <w:ind w:firstLine="137"/>
        <w:rPr>
          <w:rFonts w:ascii="Times New Roman" w:hAnsi="Times New Roman"/>
        </w:rPr>
      </w:pPr>
      <w:bookmarkStart w:id="156" w:name="_Toc501460677"/>
      <w:bookmarkStart w:id="157" w:name="_Toc81853759"/>
      <w:r>
        <w:rPr>
          <w:rFonts w:ascii="Times New Roman" w:hAnsi="Times New Roman"/>
        </w:rPr>
        <w:t>4.1 响应文件的包装和标记</w:t>
      </w:r>
      <w:bookmarkEnd w:id="156"/>
      <w:bookmarkEnd w:id="157"/>
    </w:p>
    <w:p>
      <w:pPr>
        <w:widowControl/>
        <w:adjustRightInd w:val="0"/>
        <w:snapToGrid w:val="0"/>
        <w:spacing w:line="360" w:lineRule="auto"/>
        <w:ind w:firstLine="420" w:firstLineChars="200"/>
        <w:rPr>
          <w:rFonts w:ascii="Times New Roman" w:hAnsi="Times New Roman"/>
        </w:rPr>
      </w:pPr>
      <w:bookmarkStart w:id="158" w:name="_Toc501460678"/>
      <w:r>
        <w:rPr>
          <w:rFonts w:ascii="Times New Roman" w:hAnsi="Times New Roman"/>
        </w:rPr>
        <w:t>4.1.1供应商应当按照采购文件和电子交易平台的要求加密响应文件，具体要求见供应商须知前附表。</w:t>
      </w:r>
    </w:p>
    <w:p>
      <w:pPr>
        <w:pStyle w:val="7"/>
        <w:spacing w:line="240" w:lineRule="auto"/>
        <w:ind w:firstLine="137"/>
        <w:rPr>
          <w:rFonts w:ascii="Times New Roman" w:hAnsi="Times New Roman"/>
        </w:rPr>
      </w:pPr>
      <w:bookmarkStart w:id="159" w:name="_Toc81853760"/>
      <w:r>
        <w:rPr>
          <w:rFonts w:ascii="Times New Roman" w:hAnsi="Times New Roman"/>
        </w:rPr>
        <w:t>4.2 响应文件的递交</w:t>
      </w:r>
      <w:bookmarkEnd w:id="158"/>
      <w:bookmarkEnd w:id="159"/>
    </w:p>
    <w:p>
      <w:pPr>
        <w:widowControl/>
        <w:adjustRightInd w:val="0"/>
        <w:snapToGrid w:val="0"/>
        <w:spacing w:line="360" w:lineRule="auto"/>
        <w:ind w:firstLine="420" w:firstLineChars="200"/>
        <w:rPr>
          <w:rFonts w:ascii="Times New Roman" w:hAnsi="Times New Roman"/>
          <w:szCs w:val="21"/>
        </w:rPr>
      </w:pPr>
      <w:bookmarkStart w:id="160" w:name="_Toc501460679"/>
      <w:r>
        <w:rPr>
          <w:rFonts w:ascii="Times New Roman" w:hAnsi="Times New Roman"/>
        </w:rPr>
        <w:t>4.2.1供应商应在</w:t>
      </w:r>
      <w:r>
        <w:rPr>
          <w:rFonts w:ascii="Times New Roman" w:hAnsi="Times New Roman" w:eastAsia="黑体"/>
          <w:iCs/>
        </w:rPr>
        <w:t>供应商须知前附表</w:t>
      </w:r>
      <w:r>
        <w:rPr>
          <w:rFonts w:ascii="Times New Roman" w:hAnsi="Times New Roman"/>
        </w:rPr>
        <w:t>规定的递交响应文件的截止时间前</w:t>
      </w:r>
      <w:r>
        <w:rPr>
          <w:rFonts w:ascii="Times New Roman" w:hAnsi="Times New Roman"/>
          <w:szCs w:val="21"/>
        </w:rPr>
        <w:t>通过电子交易平台提交响应文件。供应商应充分考虑上传文件时的不可预见因素，未在提交首次响应文件截止时间前完成上传的，视为逾期送达，采购人（“电子交易平台”）将拒绝接收。详见供应商须知前附表规定。</w:t>
      </w:r>
    </w:p>
    <w:p>
      <w:pPr>
        <w:spacing w:line="360" w:lineRule="auto"/>
        <w:ind w:firstLine="420" w:firstLineChars="200"/>
        <w:rPr>
          <w:rFonts w:ascii="Times New Roman" w:hAnsi="Times New Roman"/>
        </w:rPr>
      </w:pPr>
      <w:r>
        <w:rPr>
          <w:rFonts w:ascii="Times New Roman" w:hAnsi="Times New Roman"/>
        </w:rPr>
        <w:t>4.2.2 除供应商须知前附表另有规定外，供应商所递交的响应文件不予退还。</w:t>
      </w:r>
    </w:p>
    <w:p>
      <w:pPr>
        <w:pStyle w:val="7"/>
        <w:spacing w:line="240" w:lineRule="auto"/>
        <w:ind w:firstLine="137"/>
        <w:rPr>
          <w:rFonts w:ascii="Times New Roman" w:hAnsi="Times New Roman"/>
        </w:rPr>
      </w:pPr>
      <w:bookmarkStart w:id="161" w:name="_Toc81853761"/>
      <w:r>
        <w:rPr>
          <w:rFonts w:ascii="Times New Roman" w:hAnsi="Times New Roman"/>
        </w:rPr>
        <w:t>4.3 响应文件的修改与撤回</w:t>
      </w:r>
      <w:bookmarkEnd w:id="160"/>
      <w:bookmarkEnd w:id="161"/>
    </w:p>
    <w:p>
      <w:pPr>
        <w:spacing w:line="400" w:lineRule="exact"/>
        <w:ind w:firstLine="420" w:firstLineChars="200"/>
        <w:rPr>
          <w:rFonts w:ascii="Times New Roman" w:hAnsi="Times New Roman"/>
        </w:rPr>
      </w:pPr>
      <w:r>
        <w:rPr>
          <w:rFonts w:ascii="Times New Roman" w:hAnsi="Times New Roman"/>
        </w:rPr>
        <w:t>4.3.1 在本章第4.2.1项规定的递交响应文件的截止时间前，供应商可以修改或撤回已递交的响应文件，但应以书面形式通知采购人。</w:t>
      </w:r>
    </w:p>
    <w:p>
      <w:pPr>
        <w:spacing w:line="400" w:lineRule="exact"/>
        <w:ind w:firstLine="420" w:firstLineChars="200"/>
        <w:rPr>
          <w:rFonts w:ascii="Times New Roman" w:hAnsi="Times New Roman"/>
        </w:rPr>
      </w:pPr>
      <w:r>
        <w:rPr>
          <w:rFonts w:ascii="Times New Roman" w:hAnsi="Times New Roman"/>
        </w:rPr>
        <w:t>4.3.2 响应文件的修改文件或供应商撤回已递交响应文件的书面通知应由供应商的法定代表人（单位负责人）或其授权的代理人签字并加盖单位章。采购人收到供应商修改响应文件的书面文件后，向供应商出具接收凭证；采购人收到供应商撤回响应文件的书面通知后，退回供应商的响应文件。</w:t>
      </w:r>
    </w:p>
    <w:p>
      <w:pPr>
        <w:spacing w:line="400" w:lineRule="exact"/>
        <w:ind w:firstLine="420" w:firstLineChars="200"/>
        <w:rPr>
          <w:rFonts w:ascii="Times New Roman" w:hAnsi="Times New Roman"/>
        </w:rPr>
      </w:pPr>
      <w:r>
        <w:rPr>
          <w:rFonts w:ascii="Times New Roman" w:hAnsi="Times New Roman"/>
        </w:rPr>
        <w:t>4.3.3 除供应商须知前附表另有规定外，供应商撤回响应文件的，采购人应在5日内退还已收取的响应保证金。</w:t>
      </w:r>
    </w:p>
    <w:p>
      <w:pPr>
        <w:spacing w:line="400" w:lineRule="exact"/>
        <w:ind w:firstLine="420" w:firstLineChars="200"/>
        <w:rPr>
          <w:rFonts w:ascii="Times New Roman" w:hAnsi="Times New Roman"/>
        </w:rPr>
      </w:pPr>
      <w:r>
        <w:rPr>
          <w:rFonts w:ascii="Times New Roman" w:hAnsi="Times New Roman"/>
        </w:rPr>
        <w:t>4.3.</w:t>
      </w:r>
      <w:bookmarkStart w:id="162" w:name="_Toc352691497"/>
      <w:bookmarkStart w:id="163" w:name="_Toc247513977"/>
      <w:bookmarkStart w:id="164" w:name="_Toc152042329"/>
      <w:bookmarkStart w:id="165" w:name="_Toc300834974"/>
      <w:bookmarkStart w:id="166" w:name="_Toc369531541"/>
      <w:bookmarkStart w:id="167" w:name="_Toc247527578"/>
      <w:bookmarkStart w:id="168" w:name="_Toc19203"/>
      <w:bookmarkStart w:id="169" w:name="_Toc361508610"/>
      <w:bookmarkStart w:id="170" w:name="_Toc144974521"/>
      <w:bookmarkStart w:id="171" w:name="_Toc152045553"/>
      <w:bookmarkStart w:id="172" w:name="_Toc384308235"/>
      <w:r>
        <w:rPr>
          <w:rFonts w:ascii="Times New Roman" w:hAnsi="Times New Roman"/>
        </w:rPr>
        <w:t>4 修改的内容为</w:t>
      </w:r>
      <w:bookmarkEnd w:id="162"/>
      <w:bookmarkEnd w:id="163"/>
      <w:bookmarkEnd w:id="164"/>
      <w:bookmarkEnd w:id="165"/>
      <w:bookmarkEnd w:id="166"/>
      <w:bookmarkEnd w:id="167"/>
      <w:bookmarkEnd w:id="168"/>
      <w:bookmarkEnd w:id="169"/>
      <w:bookmarkEnd w:id="170"/>
      <w:bookmarkEnd w:id="171"/>
      <w:bookmarkEnd w:id="172"/>
      <w:r>
        <w:rPr>
          <w:rFonts w:ascii="Times New Roman" w:hAnsi="Times New Roman"/>
        </w:rPr>
        <w:t>响应文件的组成部分。响应文件的修改文件应按照本章第3条、第4条的规定进行编制、包装、标记和递交，并标明“修改”字样。</w:t>
      </w:r>
    </w:p>
    <w:p>
      <w:pPr>
        <w:pStyle w:val="6"/>
        <w:rPr>
          <w:rFonts w:ascii="Times New Roman" w:hAnsi="Times New Roman"/>
        </w:rPr>
      </w:pPr>
      <w:bookmarkStart w:id="173" w:name="_Toc501460680"/>
      <w:bookmarkStart w:id="174" w:name="_Toc81853762"/>
      <w:r>
        <w:rPr>
          <w:rFonts w:ascii="Times New Roman" w:hAnsi="Times New Roman"/>
        </w:rPr>
        <w:t>5. 开启响应文件</w:t>
      </w:r>
      <w:bookmarkEnd w:id="173"/>
      <w:bookmarkEnd w:id="174"/>
    </w:p>
    <w:p>
      <w:pPr>
        <w:pStyle w:val="7"/>
        <w:spacing w:line="240" w:lineRule="auto"/>
        <w:ind w:firstLine="137"/>
        <w:rPr>
          <w:rFonts w:ascii="Times New Roman" w:hAnsi="Times New Roman"/>
        </w:rPr>
      </w:pPr>
      <w:bookmarkStart w:id="175" w:name="_Toc81472258"/>
      <w:bookmarkStart w:id="176" w:name="_Toc81853764"/>
      <w:bookmarkStart w:id="177" w:name="_Toc501460683"/>
      <w:r>
        <w:rPr>
          <w:rFonts w:ascii="Times New Roman" w:hAnsi="Times New Roman"/>
        </w:rPr>
        <w:t>5.1启响应文件的时间和地点</w:t>
      </w:r>
      <w:bookmarkEnd w:id="175"/>
      <w:bookmarkEnd w:id="176"/>
    </w:p>
    <w:p>
      <w:pPr>
        <w:widowControl/>
        <w:adjustRightInd w:val="0"/>
        <w:snapToGrid w:val="0"/>
        <w:spacing w:line="360" w:lineRule="auto"/>
        <w:ind w:firstLine="420" w:firstLineChars="200"/>
        <w:rPr>
          <w:rFonts w:ascii="Times New Roman" w:hAnsi="Times New Roman"/>
        </w:rPr>
      </w:pPr>
      <w:r>
        <w:rPr>
          <w:rFonts w:ascii="Times New Roman" w:hAnsi="Times New Roman"/>
        </w:rPr>
        <w:t>采购人在本章第4.2.1项规定的提交响应文件截止时间（响应文件开启时间），通过电子交易平台开启响应文件，所有供应商的法定代表人（单位负责人）或其委托代理人应当准时参加。</w:t>
      </w:r>
    </w:p>
    <w:p>
      <w:pPr>
        <w:pStyle w:val="7"/>
        <w:spacing w:line="240" w:lineRule="auto"/>
        <w:ind w:firstLine="137"/>
        <w:rPr>
          <w:rFonts w:ascii="Times New Roman" w:hAnsi="Times New Roman"/>
        </w:rPr>
      </w:pPr>
      <w:bookmarkStart w:id="178" w:name="_Toc81853765"/>
      <w:r>
        <w:rPr>
          <w:rFonts w:ascii="Times New Roman" w:hAnsi="Times New Roman"/>
        </w:rPr>
        <w:t>5.2 开启程序</w:t>
      </w:r>
      <w:bookmarkEnd w:id="177"/>
      <w:bookmarkEnd w:id="178"/>
    </w:p>
    <w:p>
      <w:pPr>
        <w:spacing w:line="400" w:lineRule="exact"/>
        <w:ind w:firstLine="420" w:firstLineChars="200"/>
        <w:rPr>
          <w:rFonts w:ascii="Times New Roman" w:hAnsi="Times New Roman"/>
        </w:rPr>
      </w:pPr>
      <w:r>
        <w:rPr>
          <w:rFonts w:ascii="Times New Roman" w:hAnsi="Times New Roman"/>
        </w:rPr>
        <w:t>主持人按下列程序公开开启响应文件：</w:t>
      </w:r>
    </w:p>
    <w:p>
      <w:pPr>
        <w:spacing w:line="400" w:lineRule="exact"/>
        <w:ind w:firstLine="420" w:firstLineChars="200"/>
        <w:rPr>
          <w:rFonts w:ascii="Times New Roman" w:hAnsi="Times New Roman"/>
        </w:rPr>
      </w:pPr>
      <w:r>
        <w:rPr>
          <w:rFonts w:ascii="Times New Roman" w:hAnsi="Times New Roman"/>
        </w:rPr>
        <w:t>（1）宣布开启会议纪律；</w:t>
      </w:r>
    </w:p>
    <w:p>
      <w:pPr>
        <w:spacing w:line="400" w:lineRule="exact"/>
        <w:ind w:firstLine="420" w:firstLineChars="200"/>
        <w:rPr>
          <w:rFonts w:ascii="Times New Roman" w:hAnsi="Times New Roman"/>
        </w:rPr>
      </w:pPr>
      <w:r>
        <w:rPr>
          <w:rFonts w:ascii="Times New Roman" w:hAnsi="Times New Roman"/>
        </w:rPr>
        <w:t>（2）宣布参加开启会议的工作人员姓名；</w:t>
      </w:r>
    </w:p>
    <w:p>
      <w:pPr>
        <w:spacing w:line="400" w:lineRule="exact"/>
        <w:ind w:firstLine="420" w:firstLineChars="200"/>
        <w:rPr>
          <w:rFonts w:ascii="Times New Roman" w:hAnsi="Times New Roman"/>
        </w:rPr>
      </w:pPr>
      <w:r>
        <w:rPr>
          <w:rFonts w:ascii="Times New Roman" w:hAnsi="Times New Roman"/>
        </w:rPr>
        <w:t>（3）供应商代表检查确认响应文件的密封情况；</w:t>
      </w:r>
    </w:p>
    <w:p>
      <w:pPr>
        <w:spacing w:line="400" w:lineRule="exact"/>
        <w:ind w:firstLine="420" w:firstLineChars="200"/>
        <w:rPr>
          <w:rFonts w:ascii="Times New Roman" w:hAnsi="Times New Roman"/>
        </w:rPr>
      </w:pPr>
      <w:r>
        <w:rPr>
          <w:rFonts w:ascii="Times New Roman" w:hAnsi="Times New Roman"/>
        </w:rPr>
        <w:t>（4）</w:t>
      </w:r>
      <w:r>
        <w:rPr>
          <w:rFonts w:ascii="Times New Roman" w:hAnsi="Times New Roman"/>
          <w:szCs w:val="21"/>
        </w:rPr>
        <w:t>除供应商须知前附表另有规定外，通过电子招标投标交易平台对已递交的电子响应文件进行解密，公布项目名称、供应商名称、报价及其他内容，并记录在案</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（5）宣布有关注意事项；</w:t>
      </w:r>
    </w:p>
    <w:p>
      <w:pPr>
        <w:spacing w:line="400" w:lineRule="exact"/>
        <w:ind w:firstLine="420" w:firstLineChars="200"/>
        <w:rPr>
          <w:rFonts w:ascii="Times New Roman" w:hAnsi="Times New Roman"/>
        </w:rPr>
      </w:pPr>
      <w:r>
        <w:rPr>
          <w:rFonts w:ascii="Times New Roman" w:hAnsi="Times New Roman"/>
        </w:rPr>
        <w:t>（6）开启会议结束。</w:t>
      </w:r>
    </w:p>
    <w:p>
      <w:pPr>
        <w:pStyle w:val="7"/>
        <w:spacing w:line="240" w:lineRule="auto"/>
        <w:ind w:firstLine="137"/>
        <w:rPr>
          <w:rFonts w:ascii="Times New Roman" w:hAnsi="Times New Roman"/>
        </w:rPr>
      </w:pPr>
      <w:bookmarkStart w:id="179" w:name="_Toc81853766"/>
      <w:r>
        <w:rPr>
          <w:rFonts w:ascii="Times New Roman" w:hAnsi="Times New Roman"/>
        </w:rPr>
        <w:t>5.3 递交响应文件的供应商不足的情形</w:t>
      </w:r>
      <w:bookmarkEnd w:id="179"/>
    </w:p>
    <w:p>
      <w:pPr>
        <w:spacing w:line="400" w:lineRule="exact"/>
        <w:ind w:firstLine="420" w:firstLineChars="200"/>
        <w:rPr>
          <w:rFonts w:ascii="Times New Roman" w:hAnsi="Times New Roman"/>
        </w:rPr>
      </w:pPr>
      <w:r>
        <w:rPr>
          <w:rFonts w:ascii="Times New Roman" w:hAnsi="Times New Roman"/>
        </w:rPr>
        <w:t>采购项目选择一家成交供应商时，递交响应文件的供应商数量不足三家的，或采购项目选择多家成交供应商时，递交响应文件的供应商数量少于</w:t>
      </w:r>
      <w:r>
        <w:rPr>
          <w:rFonts w:ascii="Times New Roman" w:hAnsi="Times New Roman"/>
          <w:b/>
        </w:rPr>
        <w:t>供应商须知前附表</w:t>
      </w:r>
      <w:r>
        <w:rPr>
          <w:rFonts w:ascii="Times New Roman" w:hAnsi="Times New Roman"/>
        </w:rPr>
        <w:t>规定数量的，采购人可按照下述情形分别处理：</w:t>
      </w:r>
    </w:p>
    <w:p>
      <w:pPr>
        <w:spacing w:line="400" w:lineRule="exact"/>
        <w:ind w:firstLine="420" w:firstLineChars="200"/>
        <w:rPr>
          <w:rFonts w:ascii="Times New Roman" w:hAnsi="Times New Roman"/>
        </w:rPr>
      </w:pPr>
      <w:r>
        <w:rPr>
          <w:rFonts w:ascii="Times New Roman" w:hAnsi="Times New Roman"/>
        </w:rPr>
        <w:t>（1）终止询比并重新组织采购</w:t>
      </w:r>
    </w:p>
    <w:p>
      <w:pPr>
        <w:spacing w:line="400" w:lineRule="exact"/>
        <w:ind w:firstLine="420" w:firstLineChars="200"/>
        <w:rPr>
          <w:rFonts w:ascii="Times New Roman" w:hAnsi="Times New Roman"/>
        </w:rPr>
      </w:pPr>
      <w:r>
        <w:rPr>
          <w:rFonts w:ascii="Times New Roman" w:hAnsi="Times New Roman"/>
        </w:rPr>
        <w:t>采购项目存在影响公平竞争情形的，采购人应当终止询比采购，并根据不同情形和原因，采取相应纠正措施，重新组织采购。</w:t>
      </w:r>
    </w:p>
    <w:p>
      <w:pPr>
        <w:spacing w:line="400" w:lineRule="exact"/>
        <w:ind w:firstLine="420" w:firstLineChars="200"/>
        <w:rPr>
          <w:rFonts w:ascii="Times New Roman" w:hAnsi="Times New Roman"/>
        </w:rPr>
      </w:pPr>
      <w:r>
        <w:rPr>
          <w:rFonts w:ascii="Times New Roman" w:hAnsi="Times New Roman"/>
        </w:rPr>
        <w:t>采购项目不存在影响公平竞争情形的，采购人也可以选择终止询比采购，采取相应完善措施，重新组织采购。</w:t>
      </w:r>
    </w:p>
    <w:p>
      <w:pPr>
        <w:spacing w:line="400" w:lineRule="exact"/>
        <w:ind w:firstLine="420" w:firstLineChars="200"/>
        <w:rPr>
          <w:rFonts w:ascii="Times New Roman" w:hAnsi="Times New Roman"/>
        </w:rPr>
      </w:pPr>
      <w:r>
        <w:rPr>
          <w:rFonts w:ascii="Times New Roman" w:hAnsi="Times New Roman"/>
        </w:rPr>
        <w:t>（2）继续询比采购</w:t>
      </w:r>
    </w:p>
    <w:p>
      <w:pPr>
        <w:spacing w:line="400" w:lineRule="exact"/>
        <w:ind w:firstLine="420" w:firstLineChars="200"/>
        <w:rPr>
          <w:rFonts w:ascii="Times New Roman" w:hAnsi="Times New Roman"/>
        </w:rPr>
      </w:pPr>
      <w:r>
        <w:rPr>
          <w:rFonts w:ascii="Times New Roman" w:hAnsi="Times New Roman"/>
        </w:rPr>
        <w:t>采购项目不存在应该终止询比情形，且采购人也没有自行选择终止询比采购的，采购人应按照本章第5.2款规定的程序继续开启响应文件，并按第四章“评审办法”规定的规则组织响应文件评审，完成询比采购后续程序。</w:t>
      </w:r>
    </w:p>
    <w:p>
      <w:pPr>
        <w:pStyle w:val="6"/>
        <w:rPr>
          <w:rFonts w:ascii="Times New Roman" w:hAnsi="Times New Roman"/>
        </w:rPr>
      </w:pPr>
      <w:bookmarkStart w:id="180" w:name="_Toc501460685"/>
      <w:bookmarkStart w:id="181" w:name="_Toc81853767"/>
      <w:r>
        <w:rPr>
          <w:rFonts w:ascii="Times New Roman" w:hAnsi="Times New Roman"/>
        </w:rPr>
        <w:t>6.</w:t>
      </w:r>
      <w:bookmarkEnd w:id="180"/>
      <w:r>
        <w:rPr>
          <w:rFonts w:ascii="Times New Roman" w:hAnsi="Times New Roman"/>
        </w:rPr>
        <w:t>评审</w:t>
      </w:r>
      <w:bookmarkEnd w:id="181"/>
    </w:p>
    <w:p>
      <w:pPr>
        <w:pStyle w:val="7"/>
        <w:spacing w:line="240" w:lineRule="auto"/>
        <w:ind w:firstLine="137"/>
        <w:rPr>
          <w:rFonts w:ascii="Times New Roman" w:hAnsi="Times New Roman"/>
        </w:rPr>
      </w:pPr>
      <w:bookmarkStart w:id="182" w:name="_Toc501460686"/>
      <w:bookmarkStart w:id="183" w:name="_Toc81853768"/>
      <w:r>
        <w:rPr>
          <w:rFonts w:ascii="Times New Roman" w:hAnsi="Times New Roman"/>
        </w:rPr>
        <w:t xml:space="preserve">6.1 </w:t>
      </w:r>
      <w:bookmarkEnd w:id="182"/>
      <w:r>
        <w:rPr>
          <w:rFonts w:ascii="Times New Roman" w:hAnsi="Times New Roman"/>
        </w:rPr>
        <w:t>评审小组</w:t>
      </w:r>
      <w:bookmarkEnd w:id="183"/>
    </w:p>
    <w:p>
      <w:pPr>
        <w:spacing w:line="400" w:lineRule="exact"/>
        <w:ind w:firstLine="420" w:firstLineChars="200"/>
        <w:rPr>
          <w:rFonts w:ascii="Times New Roman" w:hAnsi="Times New Roman"/>
        </w:rPr>
      </w:pPr>
      <w:r>
        <w:rPr>
          <w:rFonts w:ascii="Times New Roman" w:hAnsi="Times New Roman"/>
        </w:rPr>
        <w:t>6.1.1 评审由采购人组建的评审小组负责。</w:t>
      </w:r>
    </w:p>
    <w:p>
      <w:pPr>
        <w:spacing w:line="400" w:lineRule="exact"/>
        <w:ind w:firstLine="420" w:firstLineChars="200"/>
        <w:rPr>
          <w:rFonts w:ascii="Times New Roman" w:hAnsi="Times New Roman"/>
        </w:rPr>
      </w:pPr>
      <w:r>
        <w:rPr>
          <w:rFonts w:ascii="Times New Roman" w:hAnsi="Times New Roman"/>
        </w:rPr>
        <w:t>6.1.2 评审小组成员有下列情形之一的，应当回避：</w:t>
      </w:r>
    </w:p>
    <w:p>
      <w:pPr>
        <w:spacing w:line="400" w:lineRule="exact"/>
        <w:ind w:firstLine="420" w:firstLineChars="200"/>
        <w:rPr>
          <w:rFonts w:ascii="Times New Roman" w:hAnsi="Times New Roman"/>
        </w:rPr>
      </w:pPr>
      <w:r>
        <w:rPr>
          <w:rFonts w:ascii="Times New Roman" w:hAnsi="Times New Roman"/>
        </w:rPr>
        <w:t>（1）供应商主要负责人或供应商主要负责人的近亲属；</w:t>
      </w:r>
    </w:p>
    <w:p>
      <w:pPr>
        <w:spacing w:line="400" w:lineRule="exact"/>
        <w:ind w:firstLine="420" w:firstLineChars="200"/>
        <w:rPr>
          <w:rFonts w:ascii="Times New Roman" w:hAnsi="Times New Roman"/>
        </w:rPr>
      </w:pPr>
      <w:r>
        <w:rPr>
          <w:rFonts w:ascii="Times New Roman" w:hAnsi="Times New Roman"/>
        </w:rPr>
        <w:t>（2）与供应商有经济利益关系或其他利害关系，可能影响公正评审的。</w:t>
      </w:r>
    </w:p>
    <w:p>
      <w:pPr>
        <w:spacing w:line="400" w:lineRule="exact"/>
        <w:ind w:firstLine="420" w:firstLineChars="200"/>
        <w:rPr>
          <w:rFonts w:ascii="Times New Roman" w:hAnsi="Times New Roman"/>
        </w:rPr>
      </w:pPr>
      <w:r>
        <w:rPr>
          <w:rFonts w:ascii="Times New Roman" w:hAnsi="Times New Roman"/>
        </w:rPr>
        <w:t>6.1.3 评审小组组建后，评审小组成员共同推选或由采购人指定评审小组组长，评审小组组长负责组织评审工作。</w:t>
      </w:r>
    </w:p>
    <w:p>
      <w:pPr>
        <w:spacing w:line="400" w:lineRule="exact"/>
        <w:ind w:firstLine="420" w:firstLineChars="200"/>
        <w:rPr>
          <w:rFonts w:ascii="Times New Roman" w:hAnsi="Times New Roman"/>
        </w:rPr>
      </w:pPr>
      <w:r>
        <w:rPr>
          <w:rFonts w:ascii="Times New Roman" w:hAnsi="Times New Roman"/>
        </w:rPr>
        <w:t>6.1.4 在评审过程中，评审小组成员对需要共同认定的事项存在争议的，将按照少数服从多数的原则作出结论。持不同意见的评审小组成员应当在评审报告上签署不同意见及理由，否则视为同意评审报告。</w:t>
      </w:r>
    </w:p>
    <w:p>
      <w:pPr>
        <w:pStyle w:val="7"/>
        <w:spacing w:line="240" w:lineRule="auto"/>
        <w:ind w:firstLine="137"/>
        <w:rPr>
          <w:rFonts w:ascii="Times New Roman" w:hAnsi="Times New Roman"/>
        </w:rPr>
      </w:pPr>
      <w:bookmarkStart w:id="184" w:name="_Toc81853769"/>
      <w:bookmarkStart w:id="185" w:name="_Toc501460687"/>
      <w:r>
        <w:rPr>
          <w:rFonts w:ascii="Times New Roman" w:hAnsi="Times New Roman"/>
        </w:rPr>
        <w:t>6.2评审</w:t>
      </w:r>
      <w:bookmarkEnd w:id="184"/>
      <w:bookmarkEnd w:id="185"/>
    </w:p>
    <w:p>
      <w:pPr>
        <w:spacing w:line="400" w:lineRule="exact"/>
        <w:ind w:firstLine="420" w:firstLineChars="200"/>
        <w:rPr>
          <w:rFonts w:ascii="Times New Roman" w:hAnsi="Times New Roman"/>
        </w:rPr>
      </w:pPr>
      <w:r>
        <w:rPr>
          <w:rFonts w:ascii="Times New Roman" w:hAnsi="Times New Roman"/>
        </w:rPr>
        <w:t>6.2.1 评审小组按照第四章“评审办法”规定的评审标准和程序对响应文件进行评审和比较。</w:t>
      </w:r>
    </w:p>
    <w:p>
      <w:pPr>
        <w:spacing w:line="400" w:lineRule="exact"/>
        <w:ind w:firstLine="420" w:firstLineChars="200"/>
        <w:rPr>
          <w:rFonts w:ascii="Times New Roman" w:hAnsi="Times New Roman"/>
        </w:rPr>
      </w:pPr>
      <w:r>
        <w:rPr>
          <w:rFonts w:ascii="Times New Roman" w:hAnsi="Times New Roman"/>
        </w:rPr>
        <w:t>6.2.2 评审完成后，评审小组应当向采购人提交书面评审报告和候选成交供应商名单。评审小组推荐候选成交供应商的排序要求及数量见</w:t>
      </w:r>
      <w:r>
        <w:rPr>
          <w:rFonts w:ascii="Times New Roman" w:hAnsi="Times New Roman"/>
          <w:b/>
        </w:rPr>
        <w:t>供应商须知前附表</w:t>
      </w:r>
      <w:r>
        <w:rPr>
          <w:rFonts w:ascii="Times New Roman" w:hAnsi="Times New Roman"/>
        </w:rPr>
        <w:t>。</w:t>
      </w:r>
    </w:p>
    <w:p>
      <w:pPr>
        <w:pStyle w:val="6"/>
        <w:rPr>
          <w:rFonts w:ascii="Times New Roman" w:hAnsi="Times New Roman"/>
        </w:rPr>
      </w:pPr>
      <w:bookmarkStart w:id="186" w:name="_Toc501460689"/>
      <w:bookmarkStart w:id="187" w:name="_Toc81853770"/>
      <w:r>
        <w:rPr>
          <w:rFonts w:ascii="Times New Roman" w:hAnsi="Times New Roman"/>
        </w:rPr>
        <w:t>7. 合同授予</w:t>
      </w:r>
      <w:bookmarkEnd w:id="186"/>
      <w:bookmarkEnd w:id="187"/>
    </w:p>
    <w:p>
      <w:pPr>
        <w:pStyle w:val="7"/>
        <w:spacing w:line="240" w:lineRule="auto"/>
        <w:ind w:firstLine="137"/>
        <w:rPr>
          <w:rFonts w:ascii="Times New Roman" w:hAnsi="Times New Roman"/>
        </w:rPr>
      </w:pPr>
      <w:bookmarkStart w:id="188" w:name="_Toc501460692"/>
      <w:bookmarkStart w:id="189" w:name="_Toc81853771"/>
      <w:bookmarkStart w:id="190" w:name="_Toc501460690"/>
      <w:r>
        <w:rPr>
          <w:rFonts w:ascii="Times New Roman" w:hAnsi="Times New Roman"/>
        </w:rPr>
        <w:t>7.1 候选成交供应商履约能力</w:t>
      </w:r>
      <w:bookmarkEnd w:id="188"/>
      <w:r>
        <w:rPr>
          <w:rFonts w:ascii="Times New Roman" w:hAnsi="Times New Roman"/>
        </w:rPr>
        <w:t>核查</w:t>
      </w:r>
      <w:bookmarkEnd w:id="189"/>
    </w:p>
    <w:p>
      <w:pPr>
        <w:spacing w:line="400" w:lineRule="exact"/>
        <w:ind w:firstLine="420" w:firstLineChars="200"/>
        <w:rPr>
          <w:rFonts w:ascii="Times New Roman" w:hAnsi="Times New Roman"/>
        </w:rPr>
      </w:pPr>
      <w:r>
        <w:rPr>
          <w:rFonts w:ascii="Times New Roman" w:hAnsi="Times New Roma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成交供应商的依据之一。</w:t>
      </w:r>
    </w:p>
    <w:p>
      <w:pPr>
        <w:pStyle w:val="7"/>
        <w:spacing w:line="240" w:lineRule="auto"/>
        <w:ind w:firstLine="137"/>
        <w:rPr>
          <w:rFonts w:ascii="Times New Roman" w:hAnsi="Times New Roman"/>
        </w:rPr>
      </w:pPr>
      <w:bookmarkStart w:id="191" w:name="_Toc81853773"/>
      <w:bookmarkStart w:id="192" w:name="_Toc81853772"/>
      <w:r>
        <w:rPr>
          <w:rFonts w:ascii="Times New Roman" w:hAnsi="Times New Roman"/>
        </w:rPr>
        <w:t>7.2 候选成交供应商公示</w:t>
      </w:r>
      <w:bookmarkEnd w:id="191"/>
    </w:p>
    <w:p>
      <w:pPr>
        <w:spacing w:line="400" w:lineRule="exact"/>
        <w:ind w:firstLine="420" w:firstLineChars="200"/>
        <w:rPr>
          <w:rFonts w:ascii="Times New Roman" w:hAnsi="Times New Roman"/>
          <w:iCs/>
        </w:rPr>
      </w:pPr>
      <w:r>
        <w:rPr>
          <w:rFonts w:ascii="Times New Roman" w:hAnsi="Times New Roman"/>
        </w:rPr>
        <w:t>候选成交供应商选定后，</w:t>
      </w:r>
      <w:r>
        <w:rPr>
          <w:rFonts w:ascii="Times New Roman" w:hAnsi="Times New Roman"/>
          <w:iCs/>
        </w:rPr>
        <w:t>采购人将按照</w:t>
      </w:r>
      <w:r>
        <w:rPr>
          <w:rFonts w:ascii="Times New Roman" w:hAnsi="Times New Roman" w:eastAsia="黑体"/>
          <w:iCs/>
        </w:rPr>
        <w:t>供应商须知前附表规定的</w:t>
      </w:r>
      <w:r>
        <w:rPr>
          <w:rFonts w:ascii="Times New Roman" w:hAnsi="Times New Roman"/>
        </w:rPr>
        <w:t>公示媒介和公示期限</w:t>
      </w:r>
      <w:r>
        <w:rPr>
          <w:rFonts w:ascii="Times New Roman" w:hAnsi="Times New Roman"/>
          <w:iCs/>
        </w:rPr>
        <w:t>进行公示，公示信息包括如下内容：</w:t>
      </w:r>
    </w:p>
    <w:p>
      <w:pPr>
        <w:spacing w:line="400" w:lineRule="exact"/>
        <w:ind w:firstLine="420" w:firstLineChars="200"/>
        <w:rPr>
          <w:rFonts w:ascii="Times New Roman" w:hAnsi="Times New Roman"/>
        </w:rPr>
      </w:pPr>
      <w:r>
        <w:rPr>
          <w:rFonts w:ascii="Times New Roman" w:hAnsi="Times New Roman"/>
          <w:iCs/>
        </w:rPr>
        <w:t>（1）所有</w:t>
      </w:r>
      <w:r>
        <w:rPr>
          <w:rFonts w:ascii="Times New Roman" w:hAnsi="Times New Roman"/>
        </w:rPr>
        <w:t>候选成交供应商名称、响应价格及工期/交货期/服务期限；</w:t>
      </w:r>
    </w:p>
    <w:p>
      <w:pPr>
        <w:spacing w:line="400" w:lineRule="exact"/>
        <w:ind w:firstLine="420" w:firstLineChars="200"/>
        <w:rPr>
          <w:rFonts w:ascii="Times New Roman" w:hAnsi="Times New Roman"/>
        </w:rPr>
      </w:pPr>
      <w:r>
        <w:rPr>
          <w:rFonts w:ascii="Times New Roman" w:hAnsi="Times New Roman"/>
        </w:rPr>
        <w:t>（2）候选成交供应商名称、成交份额（如有）及选择原因；</w:t>
      </w:r>
    </w:p>
    <w:p>
      <w:pPr>
        <w:spacing w:line="400" w:lineRule="exact"/>
        <w:ind w:firstLine="420" w:firstLineChars="200"/>
        <w:rPr>
          <w:rFonts w:ascii="Times New Roman" w:hAnsi="Times New Roman"/>
        </w:rPr>
      </w:pPr>
      <w:r>
        <w:rPr>
          <w:rFonts w:ascii="Times New Roman" w:hAnsi="Times New Roman"/>
        </w:rPr>
        <w:t>（3）</w:t>
      </w:r>
      <w:r>
        <w:rPr>
          <w:rFonts w:ascii="Times New Roman" w:hAnsi="Times New Roman" w:eastAsia="黑体"/>
          <w:iCs/>
        </w:rPr>
        <w:t>供应商须知前附表规定的其他内容。</w:t>
      </w:r>
    </w:p>
    <w:p>
      <w:pPr>
        <w:pStyle w:val="7"/>
        <w:spacing w:line="240" w:lineRule="auto"/>
        <w:ind w:firstLine="137"/>
        <w:rPr>
          <w:rFonts w:ascii="Times New Roman" w:hAnsi="Times New Roman"/>
        </w:rPr>
      </w:pPr>
      <w:r>
        <w:rPr>
          <w:rFonts w:ascii="Times New Roman" w:hAnsi="Times New Roman"/>
        </w:rPr>
        <w:t>7.3 确定成交供应商</w:t>
      </w:r>
      <w:bookmarkEnd w:id="192"/>
    </w:p>
    <w:p>
      <w:pPr>
        <w:spacing w:line="400" w:lineRule="exact"/>
        <w:ind w:firstLine="420" w:firstLineChars="200"/>
        <w:rPr>
          <w:rFonts w:ascii="Times New Roman" w:hAnsi="Times New Roman"/>
        </w:rPr>
      </w:pPr>
      <w:r>
        <w:rPr>
          <w:rFonts w:ascii="Times New Roman" w:hAnsi="Times New Roman"/>
        </w:rPr>
        <w:t>采购人将根据评审报告及核查结果（如有），对候选成交供应商综合评估后从中选择确定成交供应商。</w:t>
      </w:r>
    </w:p>
    <w:bookmarkEnd w:id="190"/>
    <w:p>
      <w:pPr>
        <w:pStyle w:val="7"/>
        <w:spacing w:line="240" w:lineRule="auto"/>
        <w:ind w:firstLine="137"/>
        <w:rPr>
          <w:rFonts w:ascii="Times New Roman" w:hAnsi="Times New Roman"/>
        </w:rPr>
      </w:pPr>
      <w:bookmarkStart w:id="193" w:name="_Toc501460694"/>
      <w:bookmarkStart w:id="194" w:name="_Toc81853774"/>
      <w:r>
        <w:rPr>
          <w:rFonts w:ascii="Times New Roman" w:hAnsi="Times New Roman"/>
        </w:rPr>
        <w:t>7.4 发出成交通知</w:t>
      </w:r>
      <w:bookmarkEnd w:id="193"/>
      <w:r>
        <w:rPr>
          <w:rFonts w:ascii="Times New Roman" w:hAnsi="Times New Roman"/>
        </w:rPr>
        <w:t>书</w:t>
      </w:r>
      <w:bookmarkEnd w:id="194"/>
    </w:p>
    <w:p>
      <w:pPr>
        <w:spacing w:line="400" w:lineRule="exact"/>
        <w:ind w:firstLine="420" w:firstLineChars="200"/>
        <w:rPr>
          <w:rFonts w:ascii="Times New Roman" w:hAnsi="Times New Roman"/>
        </w:rPr>
      </w:pPr>
      <w:r>
        <w:rPr>
          <w:rFonts w:ascii="Times New Roman" w:hAnsi="Times New Roman"/>
        </w:rPr>
        <w:t>公示期结束后，在本章第3.3款规定的响应文件有效期内，采购人以书面形式向成交供应商发出</w:t>
      </w:r>
      <w:bookmarkStart w:id="195" w:name="_Toc384308244"/>
      <w:bookmarkStart w:id="196" w:name="_Toc361508619"/>
      <w:bookmarkStart w:id="197" w:name="_Toc352691506"/>
      <w:bookmarkStart w:id="198" w:name="_Toc5668"/>
      <w:bookmarkStart w:id="199" w:name="_Toc300834983"/>
      <w:bookmarkStart w:id="200" w:name="_Toc369531550"/>
      <w:r>
        <w:rPr>
          <w:rFonts w:ascii="Times New Roman" w:hAnsi="Times New Roman"/>
        </w:rPr>
        <w:t>成交通知书</w:t>
      </w:r>
      <w:bookmarkEnd w:id="195"/>
      <w:bookmarkEnd w:id="196"/>
      <w:bookmarkEnd w:id="197"/>
      <w:bookmarkEnd w:id="198"/>
      <w:bookmarkEnd w:id="199"/>
      <w:bookmarkEnd w:id="200"/>
      <w:r>
        <w:rPr>
          <w:rFonts w:ascii="Times New Roman" w:hAnsi="Times New Roman"/>
        </w:rPr>
        <w:t>。</w:t>
      </w:r>
    </w:p>
    <w:p>
      <w:pPr>
        <w:pStyle w:val="7"/>
        <w:spacing w:line="240" w:lineRule="auto"/>
        <w:ind w:firstLine="137"/>
        <w:rPr>
          <w:rFonts w:ascii="Times New Roman" w:hAnsi="Times New Roman"/>
        </w:rPr>
      </w:pPr>
      <w:bookmarkStart w:id="201" w:name="_Toc81853775"/>
      <w:r>
        <w:rPr>
          <w:rFonts w:ascii="Times New Roman" w:hAnsi="Times New Roman"/>
        </w:rPr>
        <w:t>7.5 发布成交公告</w:t>
      </w:r>
      <w:bookmarkEnd w:id="201"/>
    </w:p>
    <w:p>
      <w:pPr>
        <w:spacing w:line="400" w:lineRule="exact"/>
        <w:ind w:firstLine="420" w:firstLineChars="200"/>
        <w:rPr>
          <w:rFonts w:ascii="Times New Roman" w:hAnsi="Times New Roman"/>
        </w:rPr>
      </w:pPr>
      <w:r>
        <w:rPr>
          <w:rFonts w:ascii="Times New Roman" w:hAnsi="Times New Roman"/>
        </w:rPr>
        <w:t>在发出成交通知书的同时，采购人可在供应商须知前附表规定的公告媒介发布成交公告，公告信息包括成交供应商名称、响应价格及工期/交货期/服务期限、成交份额（如有）及供应商须知前附表规定的其他内容。</w:t>
      </w:r>
    </w:p>
    <w:p>
      <w:pPr>
        <w:pStyle w:val="7"/>
        <w:spacing w:line="240" w:lineRule="auto"/>
        <w:ind w:firstLine="137"/>
        <w:rPr>
          <w:rFonts w:ascii="Times New Roman" w:hAnsi="Times New Roman"/>
        </w:rPr>
      </w:pPr>
      <w:bookmarkStart w:id="202" w:name="_Toc501460695"/>
      <w:bookmarkStart w:id="203" w:name="_Toc81853776"/>
      <w:r>
        <w:rPr>
          <w:rFonts w:ascii="Times New Roman" w:hAnsi="Times New Roman"/>
        </w:rPr>
        <w:t>7.6 履约保证金</w:t>
      </w:r>
      <w:bookmarkEnd w:id="202"/>
      <w:bookmarkEnd w:id="203"/>
    </w:p>
    <w:p>
      <w:pPr>
        <w:spacing w:line="400" w:lineRule="exact"/>
        <w:ind w:firstLine="420" w:firstLineChars="200"/>
        <w:rPr>
          <w:rFonts w:ascii="Times New Roman" w:hAnsi="Times New Roman"/>
        </w:rPr>
      </w:pPr>
      <w:r>
        <w:rPr>
          <w:rFonts w:ascii="Times New Roman" w:hAnsi="Times New Roman"/>
        </w:rPr>
        <w:t>供应商须知前附表规定递交履约保证金的，成交供应商应按</w:t>
      </w:r>
      <w:r>
        <w:rPr>
          <w:rFonts w:ascii="Times New Roman" w:hAnsi="Times New Roman" w:eastAsia="黑体"/>
          <w:iCs/>
        </w:rPr>
        <w:t>供应商须知前附表</w:t>
      </w:r>
      <w:r>
        <w:rPr>
          <w:rFonts w:ascii="Times New Roman" w:hAnsi="Times New Roman"/>
        </w:rPr>
        <w:t>规定的形式、有效期限和递交时间向采购人递交履约保证金。除</w:t>
      </w:r>
      <w:r>
        <w:rPr>
          <w:rFonts w:ascii="Times New Roman" w:hAnsi="Times New Roman" w:eastAsia="黑体"/>
          <w:iCs/>
        </w:rPr>
        <w:t>供应商须知前附表</w:t>
      </w:r>
      <w:r>
        <w:rPr>
          <w:rFonts w:ascii="Times New Roman" w:hAnsi="Times New Roman"/>
        </w:rPr>
        <w:t>另有规定外，履约保证金为采购合同金额的5%。</w:t>
      </w:r>
    </w:p>
    <w:p>
      <w:pPr>
        <w:pStyle w:val="7"/>
        <w:spacing w:line="240" w:lineRule="auto"/>
        <w:ind w:firstLine="137"/>
        <w:rPr>
          <w:rFonts w:ascii="Times New Roman" w:hAnsi="Times New Roman"/>
        </w:rPr>
      </w:pPr>
      <w:bookmarkStart w:id="204" w:name="_Toc81853777"/>
      <w:bookmarkStart w:id="205" w:name="_Toc501460696"/>
      <w:r>
        <w:rPr>
          <w:rFonts w:ascii="Times New Roman" w:hAnsi="Times New Roman"/>
        </w:rPr>
        <w:t>7.7 签订合同</w:t>
      </w:r>
      <w:bookmarkEnd w:id="204"/>
      <w:bookmarkEnd w:id="205"/>
    </w:p>
    <w:p>
      <w:pPr>
        <w:spacing w:line="400" w:lineRule="exact"/>
        <w:ind w:firstLine="420" w:firstLineChars="200"/>
        <w:rPr>
          <w:rFonts w:ascii="Times New Roman" w:hAnsi="Times New Roman"/>
        </w:rPr>
      </w:pPr>
      <w:r>
        <w:rPr>
          <w:rFonts w:ascii="Times New Roman" w:hAnsi="Times New Roman"/>
        </w:rPr>
        <w:t>7.7.1 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pPr>
        <w:spacing w:line="400" w:lineRule="exact"/>
        <w:ind w:firstLine="420" w:firstLineChars="200"/>
        <w:rPr>
          <w:rFonts w:ascii="Times New Roman" w:hAnsi="Times New Roman"/>
        </w:rPr>
      </w:pPr>
      <w:r>
        <w:rPr>
          <w:rFonts w:ascii="Times New Roman" w:hAnsi="Times New Roman"/>
        </w:rPr>
        <w:t>7.7.2 发出成交通知书后，采购人无正当理由拒绝签订合同，或者在签订合同时向成交供应商提出附加条件的，采购人向成交供应商退还响应保证金；给成交供应商造成损失的，还应当赔偿损失。</w:t>
      </w:r>
    </w:p>
    <w:p>
      <w:pPr>
        <w:spacing w:line="400" w:lineRule="exact"/>
        <w:ind w:firstLine="420" w:firstLineChars="200"/>
        <w:rPr>
          <w:rFonts w:ascii="Times New Roman" w:hAnsi="Times New Roman"/>
        </w:rPr>
      </w:pPr>
      <w:r>
        <w:rPr>
          <w:rFonts w:ascii="Times New Roman" w:hAnsi="Times New Roman"/>
        </w:rPr>
        <w:t>7.7.3 联合体成交的，联合体各方应当共同与采购人签订合同，就成交项目向采购人承担连带责任。</w:t>
      </w:r>
    </w:p>
    <w:p>
      <w:pPr>
        <w:spacing w:line="400" w:lineRule="exact"/>
        <w:ind w:firstLine="420" w:firstLineChars="200"/>
        <w:rPr>
          <w:rFonts w:ascii="Times New Roman" w:hAnsi="Times New Roman"/>
        </w:rPr>
      </w:pPr>
      <w:r>
        <w:rPr>
          <w:rFonts w:ascii="Times New Roman" w:hAnsi="Times New Roman"/>
        </w:rPr>
        <w:t>7.7.4 除供应商须知前附表另有规定外，按照第四章“评审办法”第2.2.3项规定对响应报价进行修正后，若修正后的响应报价小于按照第四章“评审办法”第2.2.2项规定确定的评审价格，则签订合同时以修正后的响应报价为准；若修正后的响应报价大于评审价格，则签订合同时以评审价格为准，同时按比例修正相应子目的单价或合价（采购文件不允许调整的费率和金额除外）。</w:t>
      </w:r>
    </w:p>
    <w:p>
      <w:pPr>
        <w:pStyle w:val="7"/>
        <w:spacing w:line="240" w:lineRule="auto"/>
        <w:ind w:firstLine="137"/>
        <w:rPr>
          <w:rFonts w:ascii="Times New Roman" w:hAnsi="Times New Roman"/>
          <w:b/>
        </w:rPr>
      </w:pPr>
      <w:bookmarkStart w:id="206" w:name="_Toc81853778"/>
      <w:r>
        <w:rPr>
          <w:rFonts w:ascii="Times New Roman" w:hAnsi="Times New Roman"/>
        </w:rPr>
        <w:t>7.8 特殊情形处理</w:t>
      </w:r>
      <w:bookmarkEnd w:id="206"/>
    </w:p>
    <w:p>
      <w:pPr>
        <w:spacing w:line="400" w:lineRule="exact"/>
        <w:ind w:firstLine="420" w:firstLineChars="200"/>
        <w:rPr>
          <w:rFonts w:ascii="Times New Roman" w:hAnsi="Times New Roman"/>
        </w:rPr>
      </w:pPr>
      <w:r>
        <w:rPr>
          <w:rFonts w:ascii="Times New Roman" w:hAnsi="Times New Roman"/>
        </w:rPr>
        <w:t>因供应商对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成交供应商、进行公示并公告。</w:t>
      </w:r>
    </w:p>
    <w:p>
      <w:pPr>
        <w:pStyle w:val="6"/>
        <w:rPr>
          <w:rFonts w:ascii="Times New Roman" w:hAnsi="Times New Roman"/>
        </w:rPr>
      </w:pPr>
      <w:bookmarkStart w:id="207" w:name="_Toc81853779"/>
      <w:r>
        <w:rPr>
          <w:rFonts w:ascii="Times New Roman" w:hAnsi="Times New Roman"/>
        </w:rPr>
        <w:t>8. 异议</w:t>
      </w:r>
      <w:bookmarkEnd w:id="207"/>
    </w:p>
    <w:p>
      <w:pPr>
        <w:pStyle w:val="7"/>
        <w:spacing w:line="240" w:lineRule="auto"/>
        <w:ind w:firstLine="137"/>
        <w:rPr>
          <w:rFonts w:ascii="Times New Roman" w:hAnsi="Times New Roman"/>
        </w:rPr>
      </w:pPr>
      <w:bookmarkStart w:id="208" w:name="_Toc81853780"/>
      <w:r>
        <w:rPr>
          <w:rFonts w:ascii="Times New Roman" w:hAnsi="Times New Roman"/>
        </w:rPr>
        <w:t>8.1 提出异议</w:t>
      </w:r>
      <w:bookmarkEnd w:id="208"/>
    </w:p>
    <w:p>
      <w:pPr>
        <w:spacing w:line="400" w:lineRule="exact"/>
        <w:ind w:firstLine="420" w:firstLineChars="200"/>
        <w:rPr>
          <w:rFonts w:ascii="Times New Roman" w:hAnsi="Times New Roman"/>
        </w:rPr>
      </w:pPr>
      <w:r>
        <w:rPr>
          <w:rFonts w:ascii="Times New Roman" w:hAnsi="Times New Roman"/>
        </w:rPr>
        <w:t>供应商或者其他利害关系人可以对成交结果提出异议。异议应在成交结果公示期间通过供应商须知前附表规定的异议渠道提出，并递交异议函和必要的证明材料。异议函包括下列内容：</w:t>
      </w:r>
    </w:p>
    <w:p>
      <w:pPr>
        <w:spacing w:line="400" w:lineRule="exact"/>
        <w:ind w:firstLine="420" w:firstLineChars="200"/>
        <w:rPr>
          <w:rFonts w:ascii="Times New Roman" w:hAnsi="Times New Roman"/>
        </w:rPr>
      </w:pPr>
      <w:r>
        <w:rPr>
          <w:rFonts w:ascii="Times New Roman" w:hAnsi="Times New Roman"/>
        </w:rPr>
        <w:t>（1）异议人的名称、地址、有效联系方式；</w:t>
      </w:r>
    </w:p>
    <w:p>
      <w:pPr>
        <w:spacing w:line="400" w:lineRule="exact"/>
        <w:ind w:firstLine="420" w:firstLineChars="200"/>
        <w:rPr>
          <w:rFonts w:ascii="Times New Roman" w:hAnsi="Times New Roman"/>
        </w:rPr>
      </w:pPr>
      <w:r>
        <w:rPr>
          <w:rFonts w:ascii="Times New Roman" w:hAnsi="Times New Roman"/>
        </w:rPr>
        <w:t>（2）项目名称、项目编号、标段号（如有）；</w:t>
      </w:r>
    </w:p>
    <w:p>
      <w:pPr>
        <w:spacing w:line="400" w:lineRule="exact"/>
        <w:ind w:firstLine="420" w:firstLineChars="200"/>
        <w:rPr>
          <w:rFonts w:ascii="Times New Roman" w:hAnsi="Times New Roman"/>
        </w:rPr>
      </w:pPr>
      <w:r>
        <w:rPr>
          <w:rFonts w:ascii="Times New Roman" w:hAnsi="Times New Roman"/>
        </w:rPr>
        <w:t>（3）被异议人名称；</w:t>
      </w:r>
    </w:p>
    <w:p>
      <w:pPr>
        <w:spacing w:line="400" w:lineRule="exact"/>
        <w:ind w:firstLine="420" w:firstLineChars="200"/>
        <w:rPr>
          <w:rFonts w:ascii="Times New Roman" w:hAnsi="Times New Roman"/>
        </w:rPr>
      </w:pPr>
      <w:r>
        <w:rPr>
          <w:rFonts w:ascii="Times New Roman" w:hAnsi="Times New Roman"/>
        </w:rPr>
        <w:t>（4）具体的异议事项、基本事实及必要的证明材料；</w:t>
      </w:r>
    </w:p>
    <w:p>
      <w:pPr>
        <w:spacing w:line="400" w:lineRule="exact"/>
        <w:ind w:firstLine="420" w:firstLineChars="200"/>
        <w:rPr>
          <w:rFonts w:ascii="Times New Roman" w:hAnsi="Times New Roman"/>
        </w:rPr>
      </w:pPr>
      <w:r>
        <w:rPr>
          <w:rFonts w:ascii="Times New Roman" w:hAnsi="Times New Roman"/>
        </w:rPr>
        <w:t>（5）明确的请求及主张；</w:t>
      </w:r>
    </w:p>
    <w:p>
      <w:pPr>
        <w:spacing w:line="400" w:lineRule="exact"/>
        <w:ind w:firstLine="420" w:firstLineChars="200"/>
        <w:rPr>
          <w:rFonts w:ascii="Times New Roman" w:hAnsi="Times New Roman"/>
        </w:rPr>
      </w:pPr>
      <w:r>
        <w:rPr>
          <w:rFonts w:ascii="Times New Roman" w:hAnsi="Times New Roman"/>
        </w:rPr>
        <w:t>（6）提起异议的日期。</w:t>
      </w:r>
    </w:p>
    <w:p>
      <w:pPr>
        <w:spacing w:line="400" w:lineRule="exact"/>
        <w:ind w:firstLine="420" w:firstLineChars="200"/>
        <w:rPr>
          <w:rFonts w:ascii="Times New Roman" w:hAnsi="Times New Roman"/>
        </w:rPr>
      </w:pPr>
      <w:r>
        <w:rPr>
          <w:rFonts w:ascii="Times New Roman" w:hAnsi="Times New Roman"/>
        </w:rPr>
        <w:t>异议函应由异议人的法定代表人（单位负责人）或者其授权代表签字并加盖单位章，并附法定代表人及其委托联系人的有效身份证复印件，否则不予接收。异议人需要修改、补充异议材料的，应当在异议期内提交修改或补充材料。</w:t>
      </w:r>
    </w:p>
    <w:p>
      <w:pPr>
        <w:spacing w:line="400" w:lineRule="exact"/>
        <w:ind w:firstLine="420" w:firstLineChars="200"/>
        <w:rPr>
          <w:rFonts w:ascii="Times New Roman" w:hAnsi="Times New Roman"/>
        </w:rPr>
      </w:pPr>
      <w:r>
        <w:rPr>
          <w:rFonts w:ascii="Times New Roman" w:hAnsi="Times New Roman"/>
        </w:rPr>
        <w:t>8.1.2有下列情形之一的，异议材料不予受理：</w:t>
      </w:r>
    </w:p>
    <w:p>
      <w:pPr>
        <w:spacing w:line="400" w:lineRule="exact"/>
        <w:ind w:firstLine="420" w:firstLineChars="200"/>
        <w:rPr>
          <w:rFonts w:ascii="Times New Roman" w:hAnsi="Times New Roman"/>
        </w:rPr>
      </w:pPr>
      <w:r>
        <w:rPr>
          <w:rFonts w:ascii="Times New Roman" w:hAnsi="Times New Roman"/>
        </w:rPr>
        <w:t>（1）提起异议的主体不是参与采购活动的供应商；</w:t>
      </w:r>
    </w:p>
    <w:p>
      <w:pPr>
        <w:spacing w:line="400" w:lineRule="exact"/>
        <w:ind w:firstLine="420" w:firstLineChars="200"/>
        <w:rPr>
          <w:rFonts w:ascii="Times New Roman" w:hAnsi="Times New Roman"/>
        </w:rPr>
      </w:pPr>
      <w:r>
        <w:rPr>
          <w:rFonts w:ascii="Times New Roman" w:hAnsi="Times New Roman"/>
        </w:rPr>
        <w:t>（2）提起异议的时间超过规定时限的；</w:t>
      </w:r>
    </w:p>
    <w:p>
      <w:pPr>
        <w:spacing w:line="400" w:lineRule="exact"/>
        <w:ind w:firstLine="420" w:firstLineChars="200"/>
        <w:rPr>
          <w:rFonts w:ascii="Times New Roman" w:hAnsi="Times New Roman"/>
        </w:rPr>
      </w:pPr>
      <w:r>
        <w:rPr>
          <w:rFonts w:ascii="Times New Roman" w:hAnsi="Times New Roman"/>
        </w:rPr>
        <w:t>（3）异议材料不完整的；</w:t>
      </w:r>
    </w:p>
    <w:p>
      <w:pPr>
        <w:spacing w:line="400" w:lineRule="exact"/>
        <w:ind w:firstLine="420" w:firstLineChars="200"/>
        <w:rPr>
          <w:rFonts w:ascii="Times New Roman" w:hAnsi="Times New Roman"/>
        </w:rPr>
      </w:pPr>
      <w:r>
        <w:rPr>
          <w:rFonts w:ascii="Times New Roman" w:hAnsi="Times New Roman"/>
        </w:rPr>
        <w:t>（4）异议事项含有主观猜测等内容且未提供有效线索、难以查证的；</w:t>
      </w:r>
    </w:p>
    <w:p>
      <w:pPr>
        <w:spacing w:line="400" w:lineRule="exact"/>
        <w:ind w:firstLine="420" w:firstLineChars="200"/>
        <w:rPr>
          <w:rFonts w:ascii="Times New Roman" w:hAnsi="Times New Roman"/>
        </w:rPr>
      </w:pPr>
      <w:r>
        <w:rPr>
          <w:rFonts w:ascii="Times New Roman" w:hAnsi="Times New Roman"/>
        </w:rPr>
        <w:t>（5）对其他供应商的响应文件详细内容异议，无法提供合法来源渠道的；</w:t>
      </w:r>
    </w:p>
    <w:p>
      <w:pPr>
        <w:spacing w:line="400" w:lineRule="exact"/>
        <w:ind w:firstLine="420" w:firstLineChars="200"/>
        <w:rPr>
          <w:rFonts w:ascii="Times New Roman" w:hAnsi="Times New Roman"/>
        </w:rPr>
      </w:pPr>
      <w:r>
        <w:rPr>
          <w:rFonts w:ascii="Times New Roman" w:hAnsi="Times New Roman"/>
        </w:rPr>
        <w:t>（6）异议事项已进入诉讼、仲裁程序的。</w:t>
      </w:r>
    </w:p>
    <w:p>
      <w:pPr>
        <w:pStyle w:val="7"/>
        <w:spacing w:line="240" w:lineRule="auto"/>
        <w:ind w:firstLine="137"/>
        <w:rPr>
          <w:rFonts w:ascii="Times New Roman" w:hAnsi="Times New Roman"/>
        </w:rPr>
      </w:pPr>
      <w:bookmarkStart w:id="209" w:name="_Toc81853781"/>
      <w:r>
        <w:rPr>
          <w:rFonts w:ascii="Times New Roman" w:hAnsi="Times New Roman"/>
        </w:rPr>
        <w:t>8.2 异议处理</w:t>
      </w:r>
      <w:bookmarkEnd w:id="209"/>
    </w:p>
    <w:p>
      <w:pPr>
        <w:spacing w:line="400" w:lineRule="exact"/>
        <w:ind w:firstLine="420" w:firstLineChars="200"/>
        <w:rPr>
          <w:rFonts w:ascii="Times New Roman" w:hAnsi="Times New Roman"/>
        </w:rPr>
      </w:pPr>
      <w:bookmarkStart w:id="210" w:name="_Toc24067"/>
      <w:bookmarkStart w:id="211" w:name="_Toc384308252"/>
      <w:bookmarkStart w:id="212" w:name="_Toc361508627"/>
      <w:bookmarkStart w:id="213" w:name="_Toc501460697"/>
      <w:bookmarkStart w:id="214" w:name="_Toc247513992"/>
      <w:bookmarkStart w:id="215" w:name="_Toc300834991"/>
      <w:bookmarkStart w:id="216" w:name="_Toc247527593"/>
      <w:bookmarkStart w:id="217" w:name="_Toc152042344"/>
      <w:bookmarkStart w:id="218" w:name="_Toc144974536"/>
      <w:bookmarkStart w:id="219" w:name="_Toc152045568"/>
      <w:r>
        <w:rPr>
          <w:rFonts w:ascii="Times New Roman" w:hAnsi="Times New Roman"/>
        </w:rPr>
        <w:t>采购人将针对异议提出的问题进行核查，经过核查，发现异议提出人对相关问题理解有误的，应作出解释；发现采购活动中确实存在错误或不当行为的，应及时予以改正或补救。</w:t>
      </w:r>
    </w:p>
    <w:p>
      <w:pPr>
        <w:spacing w:line="400" w:lineRule="exact"/>
        <w:ind w:firstLine="420" w:firstLineChars="200"/>
        <w:rPr>
          <w:rFonts w:ascii="Times New Roman" w:hAnsi="Times New Roman"/>
        </w:rPr>
      </w:pPr>
      <w:r>
        <w:rPr>
          <w:rFonts w:ascii="Times New Roman" w:hAnsi="Times New Roman"/>
        </w:rPr>
        <w:t>采购人认为异议不成立或不影响采购结果的，可以继续进行采购活动。</w:t>
      </w:r>
    </w:p>
    <w:p>
      <w:pPr>
        <w:pStyle w:val="6"/>
        <w:rPr>
          <w:rFonts w:ascii="Times New Roman" w:hAnsi="Times New Roman"/>
        </w:rPr>
      </w:pPr>
      <w:bookmarkStart w:id="220" w:name="_Toc81853782"/>
      <w:r>
        <w:rPr>
          <w:rFonts w:ascii="Times New Roman" w:hAnsi="Times New Roman"/>
        </w:rPr>
        <w:t>9.</w:t>
      </w:r>
      <w:bookmarkEnd w:id="210"/>
      <w:bookmarkEnd w:id="211"/>
      <w:bookmarkEnd w:id="212"/>
      <w:r>
        <w:rPr>
          <w:rFonts w:ascii="Times New Roman" w:hAnsi="Times New Roman"/>
        </w:rPr>
        <w:t xml:space="preserve"> 纪律</w:t>
      </w:r>
      <w:bookmarkEnd w:id="213"/>
      <w:r>
        <w:rPr>
          <w:rFonts w:ascii="Times New Roman" w:hAnsi="Times New Roman"/>
        </w:rPr>
        <w:t>要求</w:t>
      </w:r>
      <w:bookmarkEnd w:id="220"/>
    </w:p>
    <w:p>
      <w:pPr>
        <w:pStyle w:val="7"/>
        <w:spacing w:line="240" w:lineRule="auto"/>
        <w:ind w:firstLine="137"/>
        <w:rPr>
          <w:rFonts w:ascii="Times New Roman" w:hAnsi="Times New Roman"/>
        </w:rPr>
      </w:pPr>
      <w:bookmarkStart w:id="221" w:name="_Toc501460698"/>
      <w:bookmarkStart w:id="222" w:name="_Toc81853783"/>
      <w:r>
        <w:rPr>
          <w:rFonts w:ascii="Times New Roman" w:hAnsi="Times New Roman"/>
        </w:rPr>
        <w:t>9.1 对采购人的纪律要求</w:t>
      </w:r>
      <w:bookmarkEnd w:id="221"/>
      <w:bookmarkEnd w:id="222"/>
    </w:p>
    <w:p>
      <w:pPr>
        <w:spacing w:line="400" w:lineRule="exact"/>
        <w:ind w:firstLine="420" w:firstLineChars="200"/>
        <w:rPr>
          <w:rFonts w:ascii="Times New Roman" w:hAnsi="Times New Roman"/>
        </w:rPr>
      </w:pPr>
      <w:r>
        <w:rPr>
          <w:rFonts w:ascii="Times New Roman" w:hAnsi="Times New Roman"/>
        </w:rPr>
        <w:t>采购人不得泄露询比采购活动中应当保密的情况和资料，不得与供应商串通损害国家利益、社会公共利益或者他人合法权益。</w:t>
      </w:r>
    </w:p>
    <w:p>
      <w:pPr>
        <w:pStyle w:val="7"/>
        <w:spacing w:line="240" w:lineRule="auto"/>
        <w:ind w:firstLine="137"/>
        <w:rPr>
          <w:rFonts w:ascii="Times New Roman" w:hAnsi="Times New Roman"/>
        </w:rPr>
      </w:pPr>
      <w:bookmarkStart w:id="223" w:name="_Toc81853784"/>
      <w:bookmarkStart w:id="224" w:name="_Toc501460699"/>
      <w:r>
        <w:rPr>
          <w:rFonts w:ascii="Times New Roman" w:hAnsi="Times New Roman"/>
        </w:rPr>
        <w:t>9.2 对供应商的纪律要求</w:t>
      </w:r>
      <w:bookmarkEnd w:id="223"/>
      <w:bookmarkEnd w:id="224"/>
    </w:p>
    <w:p>
      <w:pPr>
        <w:spacing w:line="400" w:lineRule="exact"/>
        <w:ind w:firstLine="420" w:firstLineChars="200"/>
        <w:rPr>
          <w:rFonts w:ascii="Times New Roman" w:hAnsi="Times New Roman"/>
        </w:rPr>
      </w:pPr>
      <w:r>
        <w:rPr>
          <w:rFonts w:ascii="Times New Roman" w:hAnsi="Times New Roman"/>
        </w:rPr>
        <w:t>供应商不得相互串通或者与采购人串通，不得向采购人或者评审小组成员行贿谋取成交，不得以他人名义参加询比采购活动或者以其他方式弄虚作假骗取成交；供应商不得以任何方式干扰、影响评审工作。</w:t>
      </w:r>
    </w:p>
    <w:p>
      <w:pPr>
        <w:pStyle w:val="7"/>
        <w:spacing w:line="240" w:lineRule="auto"/>
        <w:ind w:firstLine="137"/>
        <w:rPr>
          <w:rFonts w:ascii="Times New Roman" w:hAnsi="Times New Roman"/>
        </w:rPr>
      </w:pPr>
      <w:bookmarkStart w:id="225" w:name="_Toc81853785"/>
      <w:bookmarkStart w:id="226" w:name="_Toc501460700"/>
      <w:r>
        <w:rPr>
          <w:rFonts w:ascii="Times New Roman" w:hAnsi="Times New Roman"/>
        </w:rPr>
        <w:t>9.3 对评审小组成员的纪律要求</w:t>
      </w:r>
      <w:bookmarkEnd w:id="225"/>
      <w:bookmarkEnd w:id="226"/>
    </w:p>
    <w:p>
      <w:pPr>
        <w:spacing w:line="400" w:lineRule="exact"/>
        <w:ind w:firstLine="420" w:firstLineChars="200"/>
        <w:rPr>
          <w:rFonts w:ascii="Times New Roman" w:hAnsi="Times New Roman"/>
        </w:rPr>
      </w:pPr>
      <w:r>
        <w:rPr>
          <w:rFonts w:ascii="Times New Roman" w:hAnsi="Times New Roman"/>
        </w:rPr>
        <w:t>评审小组成员不得收受他人的财物或者其他好处，不得向他人透露对响应文件的评审</w:t>
      </w:r>
      <w:bookmarkStart w:id="227" w:name="_Toc13644"/>
      <w:bookmarkStart w:id="228" w:name="_Toc361508628"/>
      <w:bookmarkStart w:id="229" w:name="_Toc384308253"/>
      <w:bookmarkStart w:id="230" w:name="_Toc352691515"/>
      <w:bookmarkStart w:id="231" w:name="_Toc369531559"/>
      <w:r>
        <w:rPr>
          <w:rFonts w:ascii="Times New Roman" w:hAnsi="Times New Roman"/>
        </w:rPr>
        <w:t>和比较、</w:t>
      </w:r>
      <w:bookmarkEnd w:id="214"/>
      <w:bookmarkEnd w:id="215"/>
      <w:bookmarkEnd w:id="216"/>
      <w:bookmarkEnd w:id="217"/>
      <w:bookmarkEnd w:id="218"/>
      <w:bookmarkEnd w:id="219"/>
      <w:bookmarkEnd w:id="227"/>
      <w:bookmarkEnd w:id="228"/>
      <w:bookmarkEnd w:id="229"/>
      <w:bookmarkEnd w:id="230"/>
      <w:bookmarkEnd w:id="231"/>
      <w:r>
        <w:rPr>
          <w:rFonts w:ascii="Times New Roman" w:hAnsi="Times New Roman"/>
        </w:rPr>
        <w:t>候选成交供应商的推荐情况以及评审有关的其他情况。在评审活动中，评审小组成员应当客观、公正地履行职责，遵守职业道德，不得擅离职守、影响评审工作正常进行，不得使用第四章“评审办法”没有规定的评审因素和标准进行评审。</w:t>
      </w:r>
    </w:p>
    <w:p>
      <w:pPr>
        <w:pStyle w:val="7"/>
        <w:spacing w:line="240" w:lineRule="auto"/>
        <w:ind w:firstLine="137"/>
        <w:rPr>
          <w:rFonts w:ascii="Times New Roman" w:hAnsi="Times New Roman"/>
        </w:rPr>
      </w:pPr>
      <w:bookmarkStart w:id="232" w:name="_Toc501460701"/>
      <w:bookmarkStart w:id="233" w:name="_Toc81853786"/>
      <w:r>
        <w:rPr>
          <w:rFonts w:ascii="Times New Roman" w:hAnsi="Times New Roman"/>
        </w:rPr>
        <w:t>9.4 对与询比活动有关的工作人员的纪律要求</w:t>
      </w:r>
      <w:bookmarkEnd w:id="232"/>
      <w:bookmarkEnd w:id="233"/>
    </w:p>
    <w:p>
      <w:pPr>
        <w:spacing w:line="400" w:lineRule="exact"/>
        <w:ind w:firstLine="420" w:firstLineChars="200"/>
        <w:rPr>
          <w:rFonts w:ascii="Times New Roman" w:hAnsi="Times New Roman"/>
        </w:rPr>
      </w:pPr>
      <w:r>
        <w:rPr>
          <w:rFonts w:ascii="Times New Roman" w:hAnsi="Times New Roman"/>
        </w:rPr>
        <w:t>与询比活动有关的工作人员不得收受他人的财物或者其他好处，不得向他人透露对</w:t>
      </w:r>
      <w:bookmarkStart w:id="234" w:name="_Toc152045569"/>
      <w:bookmarkStart w:id="235" w:name="_Toc247527594"/>
      <w:bookmarkStart w:id="236" w:name="_Toc144974537"/>
      <w:bookmarkStart w:id="237" w:name="_Toc300834992"/>
      <w:bookmarkStart w:id="238" w:name="_Toc19429"/>
      <w:bookmarkStart w:id="239" w:name="_Toc384308254"/>
      <w:bookmarkStart w:id="240" w:name="_Toc152042345"/>
      <w:bookmarkStart w:id="241" w:name="_Toc369531560"/>
      <w:bookmarkStart w:id="242" w:name="_Toc352691516"/>
      <w:bookmarkStart w:id="243" w:name="_Toc247513993"/>
      <w:bookmarkStart w:id="244" w:name="_Toc361508629"/>
      <w:r>
        <w:rPr>
          <w:rFonts w:ascii="Times New Roman" w:hAnsi="Times New Roman"/>
        </w:rPr>
        <w:t>响应文件的评审和比较、</w:t>
      </w:r>
      <w:bookmarkEnd w:id="234"/>
      <w:bookmarkEnd w:id="235"/>
      <w:bookmarkEnd w:id="236"/>
      <w:bookmarkEnd w:id="237"/>
      <w:bookmarkEnd w:id="238"/>
      <w:bookmarkEnd w:id="239"/>
      <w:bookmarkEnd w:id="240"/>
      <w:bookmarkEnd w:id="241"/>
      <w:bookmarkEnd w:id="242"/>
      <w:bookmarkEnd w:id="243"/>
      <w:bookmarkEnd w:id="244"/>
      <w:r>
        <w:rPr>
          <w:rFonts w:ascii="Times New Roman" w:hAnsi="Times New Roman"/>
        </w:rPr>
        <w:t>候选成交供应商的推荐情况以及询比有关的其他情况。在询比活动中，与询比活动有关的工作人员不得擅离职守，影响评审工作正常进行。</w:t>
      </w:r>
    </w:p>
    <w:p>
      <w:pPr>
        <w:pStyle w:val="6"/>
        <w:rPr>
          <w:rFonts w:ascii="Times New Roman" w:hAnsi="Times New Roman"/>
        </w:rPr>
      </w:pPr>
      <w:bookmarkStart w:id="245" w:name="_Toc501460704"/>
      <w:bookmarkStart w:id="246" w:name="_Toc81853787"/>
      <w:r>
        <w:rPr>
          <w:rFonts w:ascii="Times New Roman" w:hAnsi="Times New Roman"/>
        </w:rPr>
        <w:t xml:space="preserve">10. </w:t>
      </w:r>
      <w:bookmarkEnd w:id="245"/>
      <w:r>
        <w:rPr>
          <w:rFonts w:ascii="Times New Roman" w:hAnsi="Times New Roman"/>
        </w:rPr>
        <w:t>需要补充的其他内容</w:t>
      </w:r>
      <w:bookmarkEnd w:id="246"/>
    </w:p>
    <w:p>
      <w:pPr>
        <w:pStyle w:val="7"/>
        <w:spacing w:line="240" w:lineRule="auto"/>
        <w:ind w:firstLine="137"/>
        <w:rPr>
          <w:rFonts w:ascii="Times New Roman" w:hAnsi="Times New Roman"/>
        </w:rPr>
      </w:pPr>
      <w:bookmarkStart w:id="247" w:name="_Toc81853788"/>
      <w:r>
        <w:rPr>
          <w:rFonts w:ascii="Times New Roman" w:hAnsi="Times New Roman"/>
        </w:rPr>
        <w:t>10.1 采购代理服务费</w:t>
      </w:r>
      <w:bookmarkEnd w:id="247"/>
    </w:p>
    <w:p>
      <w:pPr>
        <w:spacing w:line="400" w:lineRule="exact"/>
        <w:ind w:firstLine="420" w:firstLineChars="200"/>
        <w:rPr>
          <w:rFonts w:ascii="Times New Roman" w:hAnsi="Times New Roman"/>
        </w:rPr>
      </w:pPr>
      <w:r>
        <w:rPr>
          <w:rFonts w:ascii="Times New Roman" w:hAnsi="Times New Roman" w:eastAsia="黑体"/>
          <w:iCs/>
        </w:rPr>
        <w:t>供应商须知前附表</w:t>
      </w:r>
      <w:r>
        <w:rPr>
          <w:rFonts w:ascii="Times New Roman" w:hAnsi="Times New Roman"/>
        </w:rPr>
        <w:t>规定由供应商承担采购代理服务费的，供应商应按照</w:t>
      </w:r>
      <w:r>
        <w:rPr>
          <w:rFonts w:ascii="Times New Roman" w:hAnsi="Times New Roman" w:eastAsia="黑体"/>
          <w:iCs/>
        </w:rPr>
        <w:t>供应商须知前附表</w:t>
      </w:r>
      <w:r>
        <w:rPr>
          <w:rFonts w:ascii="Times New Roman" w:hAnsi="Times New Roman"/>
        </w:rPr>
        <w:t>规定的费用标准或金额、交费时间和方式向采购代理机构支付代理服务费。</w:t>
      </w:r>
    </w:p>
    <w:p>
      <w:pPr>
        <w:pStyle w:val="7"/>
        <w:spacing w:line="240" w:lineRule="auto"/>
        <w:ind w:firstLine="137"/>
        <w:rPr>
          <w:rFonts w:ascii="Times New Roman" w:hAnsi="Times New Roman"/>
        </w:rPr>
      </w:pPr>
      <w:bookmarkStart w:id="248" w:name="_Toc81853789"/>
      <w:r>
        <w:rPr>
          <w:rFonts w:ascii="Times New Roman" w:hAnsi="Times New Roman"/>
        </w:rPr>
        <w:t>10.2 其他</w:t>
      </w:r>
      <w:bookmarkEnd w:id="248"/>
    </w:p>
    <w:p>
      <w:pPr>
        <w:spacing w:line="400" w:lineRule="exact"/>
        <w:ind w:firstLine="420" w:firstLineChars="200"/>
        <w:rPr>
          <w:rFonts w:ascii="Times New Roman" w:hAnsi="Times New Roman"/>
        </w:rPr>
      </w:pPr>
      <w:r>
        <w:rPr>
          <w:rFonts w:ascii="Times New Roman" w:hAnsi="Times New Roman"/>
        </w:rPr>
        <w:t>需要补充的其他内容：见</w:t>
      </w:r>
      <w:r>
        <w:rPr>
          <w:rFonts w:ascii="Times New Roman" w:hAnsi="Times New Roman" w:eastAsia="黑体"/>
          <w:iCs/>
        </w:rPr>
        <w:t>供应商须知前附表</w:t>
      </w:r>
      <w:r>
        <w:rPr>
          <w:rFonts w:ascii="Times New Roman" w:hAnsi="Times New Roman"/>
        </w:rPr>
        <w:t>。</w:t>
      </w:r>
    </w:p>
    <w:p>
      <w:pPr>
        <w:widowControl/>
        <w:jc w:val="left"/>
        <w:rPr>
          <w:rFonts w:ascii="Times New Roman" w:hAnsi="Times New Roman" w:eastAsia="黑体"/>
          <w:sz w:val="28"/>
          <w:szCs w:val="20"/>
        </w:rPr>
      </w:pPr>
      <w:bookmarkStart w:id="249" w:name="_Toc501460705"/>
      <w:r>
        <w:rPr>
          <w:rFonts w:ascii="Times New Roman" w:hAnsi="Times New Roman"/>
        </w:rPr>
        <w:br w:type="page"/>
      </w:r>
    </w:p>
    <w:bookmarkEnd w:id="249"/>
    <w:p>
      <w:pPr>
        <w:pStyle w:val="7"/>
        <w:ind w:firstLine="0" w:firstLineChars="0"/>
        <w:rPr>
          <w:rFonts w:ascii="Times New Roman" w:hAnsi="Times New Roman"/>
        </w:rPr>
      </w:pPr>
      <w:bookmarkStart w:id="250" w:name="_Toc81472294"/>
      <w:r>
        <w:rPr>
          <w:rFonts w:ascii="Times New Roman" w:hAnsi="Times New Roman"/>
        </w:rPr>
        <w:t>附件：全流程电子采购具体要求</w:t>
      </w:r>
      <w:bookmarkEnd w:id="250"/>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说明：当采用非招标方式进行全流程电子采购活动时，按照本规定执行，其中本要求“投标人”按“供应商”理解，“投标文件”按“响应文件”理解，“招标文件”按“采购文件”理解，“投标文件递交截止时间”按“首次递交响应文件截止时间”理解，“开标”按“开启响应文件”理解，“评标委员会”按“评审小组”理解，“投标无效”按“响应文件无效”理解。</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一、</w:t>
      </w:r>
      <w:r>
        <w:rPr>
          <w:rFonts w:ascii="Times New Roman" w:hAnsi="Times New Roman"/>
          <w:kern w:val="0"/>
          <w:szCs w:val="21"/>
        </w:rPr>
        <w:t>CA</w:t>
      </w:r>
      <w:r>
        <w:rPr>
          <w:rFonts w:ascii="Times New Roman" w:hAnsi="Times New Roman" w:eastAsia="黑体"/>
          <w:kern w:val="0"/>
          <w:szCs w:val="21"/>
        </w:rPr>
        <w:t>证书办理和注意事项</w:t>
      </w:r>
    </w:p>
    <w:p>
      <w:pPr>
        <w:widowControl/>
        <w:spacing w:line="400" w:lineRule="atLeast"/>
        <w:ind w:firstLine="420"/>
        <w:rPr>
          <w:rFonts w:ascii="Times New Roman" w:hAnsi="Times New Roman"/>
          <w:kern w:val="0"/>
          <w:szCs w:val="21"/>
        </w:rPr>
      </w:pPr>
      <w:r>
        <w:rPr>
          <w:rFonts w:ascii="Times New Roman" w:hAnsi="Times New Roman"/>
          <w:kern w:val="0"/>
          <w:szCs w:val="21"/>
        </w:rPr>
        <w:t>1.本项目采用全流程电子招标采购方式，潜在投标人应及时办理CA证书，用于对投标文件进行电子签章及加、解密。</w:t>
      </w:r>
    </w:p>
    <w:p>
      <w:pPr>
        <w:widowControl/>
        <w:spacing w:line="400" w:lineRule="atLeast"/>
        <w:ind w:firstLine="420"/>
        <w:rPr>
          <w:rFonts w:ascii="Times New Roman" w:hAnsi="Times New Roman"/>
          <w:kern w:val="0"/>
          <w:szCs w:val="21"/>
        </w:rPr>
      </w:pPr>
      <w:r>
        <w:rPr>
          <w:rFonts w:ascii="Times New Roman" w:hAnsi="Times New Roman"/>
          <w:kern w:val="0"/>
          <w:szCs w:val="21"/>
        </w:rPr>
        <w:t>2.CA证书办理详见《优质采平台CA数字证书办理说明》：</w:t>
      </w:r>
    </w:p>
    <w:p>
      <w:pPr>
        <w:widowControl/>
        <w:spacing w:line="400" w:lineRule="atLeast"/>
        <w:ind w:firstLine="420"/>
        <w:rPr>
          <w:rFonts w:ascii="Times New Roman" w:hAnsi="Times New Roman"/>
          <w:kern w:val="0"/>
          <w:szCs w:val="21"/>
        </w:rPr>
      </w:pPr>
      <w:r>
        <w:rPr>
          <w:rFonts w:ascii="Times New Roman" w:hAnsi="Times New Roman"/>
          <w:kern w:val="0"/>
          <w:szCs w:val="21"/>
          <w:u w:val="single"/>
        </w:rPr>
        <w:t>https://www.youzhicai.com/HelpCenter/HelpCenterDetail?Id=0d2b8e6d-02a6-4dd0-b828-1aa71a25a7b0</w:t>
      </w:r>
    </w:p>
    <w:p>
      <w:pPr>
        <w:widowControl/>
        <w:spacing w:line="400" w:lineRule="atLeast"/>
        <w:ind w:firstLine="420"/>
        <w:rPr>
          <w:rFonts w:ascii="Times New Roman" w:hAnsi="Times New Roman"/>
          <w:kern w:val="0"/>
          <w:szCs w:val="21"/>
        </w:rPr>
      </w:pPr>
      <w:r>
        <w:rPr>
          <w:rFonts w:ascii="Times New Roman" w:hAnsi="Times New Roman"/>
          <w:kern w:val="0"/>
          <w:szCs w:val="21"/>
        </w:rPr>
        <w:t>3.CA证书到期或即将到期，须在递交投标文件前办理续期。</w:t>
      </w:r>
    </w:p>
    <w:p>
      <w:pPr>
        <w:widowControl/>
        <w:spacing w:line="400" w:lineRule="atLeast"/>
        <w:ind w:firstLine="420"/>
        <w:rPr>
          <w:rFonts w:ascii="Times New Roman" w:hAnsi="Times New Roman"/>
          <w:kern w:val="0"/>
          <w:szCs w:val="21"/>
        </w:rPr>
      </w:pPr>
      <w:r>
        <w:rPr>
          <w:rFonts w:ascii="Times New Roman" w:hAnsi="Times New Roman"/>
          <w:kern w:val="0"/>
          <w:szCs w:val="21"/>
        </w:rPr>
        <w:t>4.CA锁遗失、损坏等无法使用，须在递交投标文件前补办CA锁。</w:t>
      </w:r>
    </w:p>
    <w:p>
      <w:pPr>
        <w:widowControl/>
        <w:spacing w:line="400" w:lineRule="atLeast"/>
        <w:ind w:firstLine="420"/>
        <w:rPr>
          <w:rFonts w:ascii="Times New Roman" w:hAnsi="Times New Roman"/>
          <w:kern w:val="0"/>
          <w:szCs w:val="21"/>
        </w:rPr>
      </w:pPr>
      <w:r>
        <w:rPr>
          <w:rFonts w:ascii="Times New Roman" w:hAnsi="Times New Roman"/>
          <w:kern w:val="0"/>
          <w:szCs w:val="21"/>
        </w:rPr>
        <w:t>5.企业信息（包括但不限于企业名称和法定代表人信息）发生变更的，须在递交投标文件前变更CA证书。</w:t>
      </w:r>
    </w:p>
    <w:p>
      <w:pPr>
        <w:widowControl/>
        <w:spacing w:line="400" w:lineRule="atLeast"/>
        <w:rPr>
          <w:rFonts w:ascii="Times New Roman" w:hAnsi="Times New Roman"/>
          <w:kern w:val="0"/>
          <w:szCs w:val="21"/>
        </w:rPr>
      </w:pPr>
      <w:r>
        <w:rPr>
          <w:rFonts w:ascii="Times New Roman" w:hAnsi="Times New Roman"/>
          <w:kern w:val="0"/>
          <w:szCs w:val="21"/>
        </w:rPr>
        <w:t>6.投标人由于CA证书遗失、损坏、更换、续期、企业信息变更等情况导致投标文件无法解密的，由投标人自行承担责任；</w:t>
      </w:r>
    </w:p>
    <w:p>
      <w:pPr>
        <w:widowControl/>
        <w:spacing w:line="400" w:lineRule="atLeast"/>
        <w:ind w:firstLine="420"/>
        <w:rPr>
          <w:rFonts w:ascii="Times New Roman" w:hAnsi="Times New Roman"/>
          <w:kern w:val="0"/>
          <w:szCs w:val="21"/>
        </w:rPr>
      </w:pPr>
      <w:r>
        <w:rPr>
          <w:rFonts w:ascii="Times New Roman" w:hAnsi="Times New Roman"/>
          <w:kern w:val="0"/>
          <w:szCs w:val="21"/>
        </w:rPr>
        <w:t>7.加密和解密投标文件必须使用同一个CA证书。</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二、制作、签章、加密、上传电子投标文件</w:t>
      </w:r>
    </w:p>
    <w:p>
      <w:pPr>
        <w:widowControl/>
        <w:spacing w:line="400" w:lineRule="atLeast"/>
        <w:ind w:firstLine="420"/>
        <w:rPr>
          <w:rFonts w:ascii="Times New Roman" w:hAnsi="Times New Roman"/>
          <w:kern w:val="0"/>
          <w:szCs w:val="21"/>
        </w:rPr>
      </w:pPr>
      <w:r>
        <w:rPr>
          <w:rFonts w:ascii="Times New Roman" w:hAnsi="Times New Roman"/>
          <w:kern w:val="0"/>
          <w:szCs w:val="21"/>
        </w:rPr>
        <w:t>8.本项目采用全流程电子化招标采购方式，潜在投标人需使用“优质采投标工具客户端”（以下简称“投标工具”）制作电子投标文件，投标工具及操作说明下载地址：</w:t>
      </w:r>
      <w:r>
        <w:rPr>
          <w:rFonts w:ascii="Times New Roman" w:hAnsi="Times New Roman"/>
          <w:kern w:val="0"/>
          <w:szCs w:val="21"/>
          <w:u w:val="single"/>
        </w:rPr>
        <w:t>https://toolcdn.youzhicai.com/tools/BidderTools.zip</w:t>
      </w:r>
      <w:r>
        <w:rPr>
          <w:rFonts w:ascii="Times New Roman" w:hAnsi="Times New Roman"/>
          <w:kern w:val="0"/>
          <w:szCs w:val="21"/>
        </w:rPr>
        <w:t>，工具使用说明及教程下载地址：http://file.youzhicai.com/files/BidderHelp.rar</w:t>
      </w:r>
    </w:p>
    <w:p>
      <w:pPr>
        <w:widowControl/>
        <w:spacing w:line="400" w:lineRule="atLeast"/>
        <w:ind w:firstLine="420"/>
        <w:rPr>
          <w:rFonts w:ascii="Times New Roman" w:hAnsi="Times New Roman"/>
          <w:kern w:val="0"/>
          <w:szCs w:val="21"/>
        </w:rPr>
      </w:pPr>
      <w:r>
        <w:rPr>
          <w:rFonts w:ascii="Times New Roman" w:hAnsi="Times New Roman"/>
          <w:kern w:val="0"/>
          <w:szCs w:val="21"/>
        </w:rPr>
        <w:t>8.1.投标工具建议在window7或windows10操作系统下使用；</w:t>
      </w:r>
    </w:p>
    <w:p>
      <w:pPr>
        <w:widowControl/>
        <w:spacing w:line="400" w:lineRule="atLeast"/>
        <w:ind w:firstLine="420"/>
        <w:rPr>
          <w:rFonts w:ascii="Times New Roman" w:hAnsi="Times New Roman"/>
          <w:kern w:val="0"/>
          <w:szCs w:val="21"/>
        </w:rPr>
      </w:pPr>
      <w:r>
        <w:rPr>
          <w:rFonts w:ascii="Times New Roman" w:hAnsi="Times New Roman"/>
          <w:kern w:val="0"/>
          <w:szCs w:val="21"/>
        </w:rPr>
        <w:t>8.2.电子投标文件编制建议使用office2010版本。</w:t>
      </w:r>
    </w:p>
    <w:p>
      <w:pPr>
        <w:widowControl/>
        <w:wordWrap w:val="0"/>
        <w:spacing w:line="400" w:lineRule="atLeast"/>
        <w:rPr>
          <w:rFonts w:ascii="Times New Roman" w:hAnsi="Times New Roman"/>
          <w:kern w:val="0"/>
          <w:szCs w:val="21"/>
        </w:rPr>
      </w:pPr>
      <w:r>
        <w:rPr>
          <w:rFonts w:ascii="Times New Roman" w:hAnsi="Times New Roman"/>
          <w:kern w:val="0"/>
          <w:szCs w:val="21"/>
        </w:rPr>
        <w:t>9.潜在投标人制作电子投标文件后，需在投标工具对电子投标文件进行电子签章（项目有特殊说明的除外），并使用CA证书进行加密。在投标工具使用CA证书时需安装“优质采数字证书助手” （即数字证书驱动），下载地址：</w:t>
      </w:r>
      <w:r>
        <w:rPr>
          <w:rFonts w:ascii="Times New Roman" w:hAnsi="Times New Roman"/>
          <w:kern w:val="0"/>
          <w:szCs w:val="21"/>
          <w:u w:val="single"/>
        </w:rPr>
        <w:t>https://toolcdn.youzhicai.com/ca.zip</w:t>
      </w:r>
      <w:r>
        <w:rPr>
          <w:rFonts w:ascii="Times New Roman" w:hAnsi="Times New Roman"/>
          <w:kern w:val="0"/>
          <w:szCs w:val="21"/>
        </w:rPr>
        <w:t>。</w:t>
      </w:r>
    </w:p>
    <w:p>
      <w:pPr>
        <w:widowControl/>
        <w:wordWrap w:val="0"/>
        <w:spacing w:line="400" w:lineRule="atLeast"/>
        <w:rPr>
          <w:rFonts w:ascii="Times New Roman" w:hAnsi="Times New Roman"/>
          <w:kern w:val="0"/>
          <w:szCs w:val="21"/>
        </w:rPr>
      </w:pPr>
      <w:r>
        <w:rPr>
          <w:rFonts w:ascii="Times New Roman" w:hAnsi="Times New Roman"/>
          <w:kern w:val="0"/>
          <w:szCs w:val="21"/>
        </w:rPr>
        <w:t>10.潜在投标人完成制作、签章、加密投标文件后，需在招标文件规定的投标截止时间前在投标工具完成上传。投标截止时间以优质采云采购平台（www.youzhicai.com）系统的时间为准，如未在投标截止时间前完成电子投标文件上传，系统将自动关闭上传通道。潜在投标人未完成电子投标文件上传的，视为没有递交投标文件。</w:t>
      </w:r>
    </w:p>
    <w:p>
      <w:pPr>
        <w:widowControl/>
        <w:wordWrap w:val="0"/>
        <w:spacing w:line="400" w:lineRule="atLeast"/>
        <w:ind w:firstLine="420"/>
        <w:rPr>
          <w:rFonts w:ascii="Times New Roman" w:hAnsi="Times New Roman"/>
          <w:kern w:val="0"/>
          <w:szCs w:val="21"/>
        </w:rPr>
      </w:pPr>
      <w:r>
        <w:rPr>
          <w:rFonts w:ascii="Times New Roman" w:hAnsi="Times New Roman"/>
          <w:kern w:val="0"/>
          <w:szCs w:val="21"/>
        </w:rPr>
        <w:t>11.潜在投标人在投标文件递交截止时间前，可以对其所递交的电子投标文件进行撤回，修改后重新上传。</w:t>
      </w:r>
    </w:p>
    <w:p>
      <w:pPr>
        <w:widowControl/>
        <w:spacing w:line="400" w:lineRule="atLeast"/>
        <w:ind w:firstLine="420"/>
        <w:rPr>
          <w:rFonts w:ascii="Times New Roman" w:hAnsi="Times New Roman"/>
          <w:kern w:val="0"/>
          <w:szCs w:val="21"/>
        </w:rPr>
      </w:pPr>
      <w:r>
        <w:rPr>
          <w:rFonts w:ascii="Times New Roman" w:hAnsi="Times New Roman"/>
          <w:kern w:val="0"/>
          <w:szCs w:val="21"/>
        </w:rPr>
        <w:t>12.潜在投标人在制作、签章、加密、上传电子投标文件过程中，若存在技术操作问题，请及时联系优质采云采购平台客服人员，客服电话：400-0099-555，0551-62220164。</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三、开标和解密</w:t>
      </w:r>
    </w:p>
    <w:p>
      <w:pPr>
        <w:widowControl/>
        <w:spacing w:line="400" w:lineRule="atLeast"/>
        <w:ind w:firstLine="420"/>
        <w:rPr>
          <w:rFonts w:ascii="Times New Roman" w:hAnsi="Times New Roman"/>
          <w:kern w:val="0"/>
          <w:szCs w:val="21"/>
        </w:rPr>
      </w:pPr>
      <w:r>
        <w:rPr>
          <w:rFonts w:ascii="Times New Roman" w:hAnsi="Times New Roman"/>
          <w:kern w:val="0"/>
          <w:szCs w:val="21"/>
        </w:rPr>
        <w:t>13.招标人或招标代理机构工作人员（以下简称工作人员）根据有关规定登录系统组织开标。投标文件递交截止时间后由投标人使用CA证书解密投标文件，工作人员导入已解密投标文件并公布开标结果。</w:t>
      </w:r>
    </w:p>
    <w:p>
      <w:pPr>
        <w:widowControl/>
        <w:spacing w:line="400" w:lineRule="atLeast"/>
        <w:ind w:firstLine="420"/>
        <w:rPr>
          <w:rFonts w:ascii="Times New Roman" w:hAnsi="Times New Roman"/>
          <w:kern w:val="0"/>
          <w:szCs w:val="21"/>
        </w:rPr>
      </w:pPr>
      <w:r>
        <w:rPr>
          <w:rFonts w:ascii="Times New Roman" w:hAnsi="Times New Roman"/>
          <w:kern w:val="0"/>
          <w:szCs w:val="21"/>
        </w:rPr>
        <w:t>14.投标文件可远程解密，投标人无需到达开标现场。招标文件“投标人须知”中另有规定的，从其规定。</w:t>
      </w:r>
    </w:p>
    <w:p>
      <w:pPr>
        <w:widowControl/>
        <w:spacing w:line="400" w:lineRule="atLeast"/>
        <w:ind w:firstLine="420"/>
        <w:rPr>
          <w:rFonts w:ascii="Times New Roman" w:hAnsi="Times New Roman"/>
          <w:kern w:val="0"/>
          <w:szCs w:val="21"/>
        </w:rPr>
      </w:pPr>
      <w:r>
        <w:rPr>
          <w:rFonts w:ascii="Times New Roman" w:hAnsi="Times New Roman"/>
          <w:kern w:val="0"/>
          <w:szCs w:val="21"/>
        </w:rPr>
        <w:t>15.潜在投标人须按照招标文件的要求在投标文件递交截止时间前登录投标工具并保持在线，关注开标互动大厅消息直到项目评审结束。</w:t>
      </w:r>
    </w:p>
    <w:p>
      <w:pPr>
        <w:widowControl/>
        <w:spacing w:line="400" w:lineRule="atLeast"/>
        <w:ind w:firstLine="420"/>
        <w:rPr>
          <w:rFonts w:ascii="Times New Roman" w:hAnsi="Times New Roman"/>
          <w:kern w:val="0"/>
          <w:szCs w:val="21"/>
        </w:rPr>
      </w:pPr>
      <w:r>
        <w:rPr>
          <w:rFonts w:ascii="Times New Roman" w:hAnsi="Times New Roman"/>
          <w:kern w:val="0"/>
          <w:szCs w:val="21"/>
        </w:rPr>
        <w:t>16.投标文件解密时限为投标文件递交截止时间后30分钟（招标文件“投标人须知”中另有规定的，从其规定）。潜在投标人须在投标文件解密时限内完成投标文件解密，未能成功解密的视为放弃投标。招标文件“投标人须知”中对投标文件解密设有线下补救方案的，执行该补救方案。</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四、评标和询标</w:t>
      </w:r>
    </w:p>
    <w:p>
      <w:pPr>
        <w:widowControl/>
        <w:spacing w:line="400" w:lineRule="atLeast"/>
        <w:ind w:firstLine="420"/>
        <w:rPr>
          <w:rFonts w:ascii="Times New Roman" w:hAnsi="Times New Roman"/>
          <w:kern w:val="0"/>
          <w:szCs w:val="21"/>
        </w:rPr>
      </w:pPr>
      <w:r>
        <w:rPr>
          <w:rFonts w:ascii="Times New Roman" w:hAnsi="Times New Roman"/>
          <w:kern w:val="0"/>
          <w:szCs w:val="21"/>
        </w:rPr>
        <w:t>17.评标委员会通过优质采电子评标工具将需要澄清、说明或补正的内容以询标函的形式发送给投标人，投标人/供应商应登录投标工具并保持在线状态，以便及时接收评标委员会可能发出的询标函，并在询标函载明的时间内回复，若投标人未及时回复，视为放弃澄清。</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五、异常情形</w:t>
      </w:r>
    </w:p>
    <w:p>
      <w:pPr>
        <w:widowControl/>
        <w:spacing w:line="400" w:lineRule="atLeast"/>
        <w:ind w:firstLine="420"/>
        <w:rPr>
          <w:rFonts w:ascii="Times New Roman" w:hAnsi="Times New Roman"/>
          <w:kern w:val="0"/>
          <w:szCs w:val="21"/>
        </w:rPr>
      </w:pPr>
      <w:r>
        <w:rPr>
          <w:rFonts w:ascii="Times New Roman" w:hAnsi="Times New Roman"/>
          <w:kern w:val="0"/>
          <w:szCs w:val="21"/>
        </w:rPr>
        <w:t>18.出现下列情形导致电子交易系统无法正常运行，影响招投标过程的公平、公正和信息安全，经第三方机构认定后，各方当事人免责：</w:t>
      </w:r>
    </w:p>
    <w:p>
      <w:pPr>
        <w:widowControl/>
        <w:spacing w:line="400" w:lineRule="atLeast"/>
        <w:ind w:firstLine="420"/>
        <w:rPr>
          <w:rFonts w:ascii="Times New Roman" w:hAnsi="Times New Roman"/>
          <w:kern w:val="0"/>
          <w:szCs w:val="21"/>
        </w:rPr>
      </w:pPr>
      <w:r>
        <w:rPr>
          <w:rFonts w:ascii="Times New Roman" w:hAnsi="Times New Roman"/>
          <w:kern w:val="0"/>
          <w:szCs w:val="21"/>
        </w:rPr>
        <w:t>(1)网络、服务器、数据库发生故障造成无法访问或使用的；</w:t>
      </w:r>
    </w:p>
    <w:p>
      <w:pPr>
        <w:widowControl/>
        <w:spacing w:line="400" w:lineRule="atLeast"/>
        <w:ind w:firstLine="420"/>
        <w:rPr>
          <w:rFonts w:ascii="Times New Roman" w:hAnsi="Times New Roman"/>
          <w:kern w:val="0"/>
          <w:szCs w:val="21"/>
        </w:rPr>
      </w:pPr>
      <w:r>
        <w:rPr>
          <w:rFonts w:ascii="Times New Roman" w:hAnsi="Times New Roman"/>
          <w:kern w:val="0"/>
          <w:szCs w:val="21"/>
        </w:rPr>
        <w:t>(2)电力系统发生故障导致电子服务系统或电子交易系统无法运行；</w:t>
      </w:r>
    </w:p>
    <w:p>
      <w:pPr>
        <w:widowControl/>
        <w:spacing w:line="400" w:lineRule="atLeast"/>
        <w:ind w:firstLine="420"/>
        <w:rPr>
          <w:rFonts w:ascii="Times New Roman" w:hAnsi="Times New Roman"/>
          <w:kern w:val="0"/>
          <w:szCs w:val="21"/>
        </w:rPr>
      </w:pPr>
      <w:r>
        <w:rPr>
          <w:rFonts w:ascii="Times New Roman" w:hAnsi="Times New Roman"/>
          <w:kern w:val="0"/>
          <w:szCs w:val="21"/>
        </w:rPr>
        <w:t>(3)出现网络攻击、病毒入侵以及电子服务系统或电子交易系统安全漏洞导致无法正常提供服务的；</w:t>
      </w:r>
    </w:p>
    <w:p>
      <w:pPr>
        <w:widowControl/>
        <w:spacing w:line="400" w:lineRule="atLeast"/>
        <w:ind w:firstLine="420"/>
        <w:rPr>
          <w:rFonts w:ascii="Times New Roman" w:hAnsi="Times New Roman"/>
          <w:kern w:val="0"/>
          <w:szCs w:val="21"/>
        </w:rPr>
      </w:pPr>
      <w:r>
        <w:rPr>
          <w:rFonts w:ascii="Times New Roman" w:hAnsi="Times New Roman"/>
          <w:kern w:val="0"/>
          <w:szCs w:val="21"/>
        </w:rPr>
        <w:t>(4)其他无法保证招投标过程公平、公正和信息安全的情形。</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六、异常情形处理</w:t>
      </w:r>
    </w:p>
    <w:p>
      <w:pPr>
        <w:widowControl/>
        <w:spacing w:line="400" w:lineRule="atLeast"/>
        <w:ind w:firstLine="420"/>
        <w:rPr>
          <w:rFonts w:ascii="Times New Roman" w:hAnsi="Times New Roman"/>
          <w:kern w:val="0"/>
          <w:szCs w:val="21"/>
        </w:rPr>
      </w:pPr>
      <w:r>
        <w:rPr>
          <w:rFonts w:ascii="Times New Roman" w:hAnsi="Times New Roman"/>
          <w:kern w:val="0"/>
          <w:szCs w:val="21"/>
        </w:rPr>
        <w:t>19.出现上述情形，优质采平台及时组织相关方查明原因，排除故障。若能保证在开标前恢复系统运行的，招投标程序继续进行；若导致开评标程序无法按时开展，但能在原开标时间后2小时内恢复系统运行的，招投标程序继续进行；若导致开评标程序无法按时开展，在原开标时间后2小时内无法恢复系统运行的，按以下程序操作：</w:t>
      </w:r>
    </w:p>
    <w:p>
      <w:pPr>
        <w:widowControl/>
        <w:spacing w:line="400" w:lineRule="atLeast"/>
        <w:ind w:firstLine="420"/>
        <w:rPr>
          <w:rFonts w:ascii="Times New Roman" w:hAnsi="Times New Roman"/>
          <w:kern w:val="0"/>
          <w:szCs w:val="21"/>
        </w:rPr>
      </w:pPr>
      <w:r>
        <w:rPr>
          <w:rFonts w:ascii="Times New Roman" w:hAnsi="Times New Roman"/>
          <w:kern w:val="0"/>
          <w:szCs w:val="21"/>
        </w:rPr>
        <w:t>（1）项目中止，中止期限由招标人或招标代理机构根据项目具体情况确定。中止期限届满后中止情形尚未消除的，招标人或代理机构可以根据实际情况决定延长中止期限。决定延长中止期限的，应向投标人发出延长中止期限通知，并发布公布。</w:t>
      </w:r>
    </w:p>
    <w:p>
      <w:pPr>
        <w:widowControl/>
        <w:spacing w:line="400" w:lineRule="atLeast"/>
        <w:ind w:firstLine="420"/>
        <w:rPr>
          <w:rFonts w:ascii="Times New Roman" w:hAnsi="Times New Roman"/>
          <w:kern w:val="0"/>
          <w:szCs w:val="21"/>
        </w:rPr>
      </w:pPr>
      <w:r>
        <w:rPr>
          <w:rFonts w:ascii="Times New Roman" w:hAnsi="Times New Roman"/>
          <w:kern w:val="0"/>
          <w:szCs w:val="21"/>
        </w:rPr>
        <w:t>（2）项目恢复，导致项目中止的情形消除后，招标人或代理机构应当尽快恢复招投标程序，向投标人发出恢复交易通知，并发布公布；已发出延长中止期限通知的，按通知执行。</w:t>
      </w:r>
    </w:p>
    <w:p>
      <w:pPr>
        <w:widowControl/>
        <w:jc w:val="left"/>
        <w:rPr>
          <w:rFonts w:ascii="Times New Roman" w:hAnsi="Times New Roman"/>
        </w:rPr>
      </w:pPr>
      <w:r>
        <w:rPr>
          <w:rFonts w:ascii="Times New Roman" w:hAnsi="Times New Roman"/>
        </w:rPr>
        <w:br w:type="page"/>
      </w:r>
      <w:bookmarkStart w:id="251" w:name="_Toc501460711"/>
    </w:p>
    <w:p>
      <w:pPr>
        <w:pStyle w:val="5"/>
        <w:rPr>
          <w:color w:val="auto"/>
        </w:rPr>
      </w:pPr>
      <w:bookmarkStart w:id="252" w:name="_Toc84601118"/>
      <w:bookmarkStart w:id="253" w:name="_Toc81853818"/>
      <w:bookmarkStart w:id="254" w:name="_Toc81853795"/>
      <w:r>
        <w:rPr>
          <w:color w:val="auto"/>
        </w:rPr>
        <w:t>第三章  采购需求</w:t>
      </w:r>
      <w:bookmarkEnd w:id="252"/>
      <w:bookmarkEnd w:id="253"/>
    </w:p>
    <w:p>
      <w:pPr>
        <w:shd w:val="clear" w:color="auto" w:fill="FFFFFF"/>
        <w:tabs>
          <w:tab w:val="left" w:pos="2730"/>
        </w:tabs>
        <w:spacing w:line="360" w:lineRule="auto"/>
        <w:ind w:firstLine="472" w:firstLineChars="196"/>
        <w:rPr>
          <w:rFonts w:ascii="宋体" w:hAnsi="宋体"/>
          <w:b/>
          <w:bCs/>
          <w:sz w:val="24"/>
          <w:szCs w:val="32"/>
          <w:shd w:val="clear" w:color="auto" w:fill="FFFFFF"/>
        </w:rPr>
      </w:pPr>
      <w:r>
        <w:rPr>
          <w:rFonts w:hint="eastAsia" w:ascii="宋体" w:hAnsi="宋体"/>
          <w:b/>
          <w:bCs/>
          <w:sz w:val="24"/>
          <w:szCs w:val="32"/>
          <w:shd w:val="clear" w:color="auto" w:fill="FFFFFF"/>
        </w:rPr>
        <w:t>一、商务要求</w:t>
      </w:r>
    </w:p>
    <w:tbl>
      <w:tblPr>
        <w:tblStyle w:val="30"/>
        <w:tblW w:w="83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391"/>
        <w:gridCol w:w="5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cs="Wingdings"/>
                <w:b/>
                <w:sz w:val="24"/>
                <w:szCs w:val="21"/>
              </w:rPr>
            </w:pPr>
            <w:r>
              <w:rPr>
                <w:rFonts w:hint="eastAsia" w:ascii="宋体" w:hAnsi="宋体" w:cs="Wingdings"/>
                <w:b/>
                <w:sz w:val="24"/>
                <w:szCs w:val="21"/>
              </w:rPr>
              <w:t>序号</w:t>
            </w:r>
          </w:p>
        </w:tc>
        <w:tc>
          <w:tcPr>
            <w:tcW w:w="2391" w:type="dxa"/>
            <w:vAlign w:val="center"/>
          </w:tcPr>
          <w:p>
            <w:pPr>
              <w:spacing w:line="360" w:lineRule="auto"/>
              <w:jc w:val="center"/>
              <w:rPr>
                <w:rFonts w:ascii="宋体" w:hAnsi="Courier New" w:cs="Courier New"/>
                <w:szCs w:val="21"/>
              </w:rPr>
            </w:pPr>
            <w:r>
              <w:rPr>
                <w:rFonts w:hint="eastAsia" w:ascii="宋体" w:hAnsi="宋体" w:cs="Courier New"/>
                <w:b/>
                <w:bCs/>
                <w:sz w:val="24"/>
                <w:szCs w:val="24"/>
              </w:rPr>
              <w:t>条款名称</w:t>
            </w:r>
          </w:p>
        </w:tc>
        <w:tc>
          <w:tcPr>
            <w:tcW w:w="5170" w:type="dxa"/>
            <w:vAlign w:val="center"/>
          </w:tcPr>
          <w:p>
            <w:pPr>
              <w:spacing w:line="360" w:lineRule="auto"/>
              <w:jc w:val="center"/>
              <w:rPr>
                <w:rFonts w:ascii="宋体" w:hAnsi="宋体" w:cs="Wingdings"/>
                <w:b/>
                <w:sz w:val="24"/>
                <w:szCs w:val="21"/>
              </w:rPr>
            </w:pPr>
            <w:r>
              <w:rPr>
                <w:rFonts w:hint="eastAsia" w:ascii="宋体" w:hAnsi="宋体" w:cs="Wingdings"/>
                <w:b/>
                <w:sz w:val="24"/>
                <w:szCs w:val="21"/>
              </w:rPr>
              <w:t>具体要求内容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ascii="宋体" w:hAnsi="宋体"/>
                <w:sz w:val="24"/>
                <w:szCs w:val="20"/>
              </w:rPr>
              <w:t>1</w:t>
            </w:r>
          </w:p>
        </w:tc>
        <w:tc>
          <w:tcPr>
            <w:tcW w:w="2391" w:type="dxa"/>
            <w:vAlign w:val="center"/>
          </w:tcPr>
          <w:p>
            <w:pPr>
              <w:spacing w:line="360" w:lineRule="auto"/>
              <w:jc w:val="center"/>
              <w:rPr>
                <w:rFonts w:ascii="宋体" w:hAnsi="宋体"/>
                <w:sz w:val="24"/>
                <w:szCs w:val="20"/>
              </w:rPr>
            </w:pPr>
            <w:r>
              <w:rPr>
                <w:rFonts w:ascii="宋体" w:hAnsi="宋体"/>
                <w:sz w:val="24"/>
                <w:szCs w:val="20"/>
              </w:rPr>
              <w:t>付款方式</w:t>
            </w:r>
          </w:p>
        </w:tc>
        <w:tc>
          <w:tcPr>
            <w:tcW w:w="5170" w:type="dxa"/>
            <w:vAlign w:val="center"/>
          </w:tcPr>
          <w:p>
            <w:pPr>
              <w:widowControl/>
              <w:spacing w:line="360" w:lineRule="auto"/>
              <w:rPr>
                <w:rFonts w:ascii="宋体" w:hAnsi="宋体"/>
                <w:sz w:val="24"/>
                <w:szCs w:val="20"/>
              </w:rPr>
            </w:pPr>
            <w:r>
              <w:rPr>
                <w:rFonts w:hint="eastAsia" w:ascii="宋体" w:hAnsi="宋体"/>
                <w:sz w:val="24"/>
                <w:szCs w:val="20"/>
              </w:rPr>
              <w:t>出具黄山市屯溪区昱城产业投资控股有限公司两年连审合并审计报告（2022年-2023年）及对2024年9月30日报表及附注进行复核初稿后支付合同价的30%，经与采购人确认后出具正式审计报告支付合同剩余款项。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2</w:t>
            </w:r>
          </w:p>
        </w:tc>
        <w:tc>
          <w:tcPr>
            <w:tcW w:w="2391" w:type="dxa"/>
            <w:vAlign w:val="center"/>
          </w:tcPr>
          <w:p>
            <w:pPr>
              <w:spacing w:line="360" w:lineRule="auto"/>
              <w:jc w:val="center"/>
              <w:rPr>
                <w:rFonts w:ascii="宋体" w:hAnsi="宋体"/>
                <w:sz w:val="24"/>
                <w:szCs w:val="20"/>
              </w:rPr>
            </w:pPr>
            <w:r>
              <w:rPr>
                <w:rFonts w:hint="eastAsia" w:ascii="宋体" w:hAnsi="宋体"/>
                <w:sz w:val="24"/>
                <w:szCs w:val="20"/>
              </w:rPr>
              <w:t>服务地点</w:t>
            </w:r>
          </w:p>
        </w:tc>
        <w:tc>
          <w:tcPr>
            <w:tcW w:w="5170" w:type="dxa"/>
            <w:vAlign w:val="center"/>
          </w:tcPr>
          <w:p>
            <w:pPr>
              <w:spacing w:line="360" w:lineRule="auto"/>
              <w:rPr>
                <w:rFonts w:ascii="宋体" w:hAnsi="宋体"/>
                <w:sz w:val="24"/>
                <w:szCs w:val="20"/>
              </w:rPr>
            </w:pPr>
            <w:r>
              <w:rPr>
                <w:rFonts w:hint="eastAsia" w:ascii="宋体" w:hAnsi="宋体"/>
                <w:sz w:val="24"/>
                <w:szCs w:val="20"/>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808" w:type="dxa"/>
            <w:vAlign w:val="center"/>
          </w:tcPr>
          <w:p>
            <w:pPr>
              <w:spacing w:line="360" w:lineRule="auto"/>
              <w:jc w:val="center"/>
              <w:rPr>
                <w:rFonts w:ascii="宋体" w:hAnsi="宋体"/>
                <w:sz w:val="24"/>
                <w:szCs w:val="20"/>
              </w:rPr>
            </w:pPr>
            <w:r>
              <w:rPr>
                <w:rFonts w:hint="eastAsia" w:ascii="宋体" w:hAnsi="宋体"/>
                <w:sz w:val="24"/>
                <w:szCs w:val="20"/>
              </w:rPr>
              <w:t>3</w:t>
            </w:r>
          </w:p>
        </w:tc>
        <w:tc>
          <w:tcPr>
            <w:tcW w:w="2391" w:type="dxa"/>
            <w:vAlign w:val="center"/>
          </w:tcPr>
          <w:p>
            <w:pPr>
              <w:spacing w:line="360" w:lineRule="auto"/>
              <w:jc w:val="center"/>
              <w:rPr>
                <w:rFonts w:ascii="宋体" w:hAnsi="宋体"/>
                <w:sz w:val="24"/>
                <w:szCs w:val="20"/>
              </w:rPr>
            </w:pPr>
            <w:r>
              <w:rPr>
                <w:rFonts w:hint="eastAsia" w:ascii="宋体" w:hAnsi="宋体"/>
                <w:sz w:val="24"/>
                <w:szCs w:val="20"/>
              </w:rPr>
              <w:t>服务期限</w:t>
            </w:r>
          </w:p>
        </w:tc>
        <w:tc>
          <w:tcPr>
            <w:tcW w:w="5170" w:type="dxa"/>
            <w:vAlign w:val="center"/>
          </w:tcPr>
          <w:p>
            <w:pPr>
              <w:spacing w:line="360" w:lineRule="auto"/>
              <w:jc w:val="left"/>
              <w:rPr>
                <w:rFonts w:ascii="宋体" w:hAnsi="宋体"/>
                <w:sz w:val="24"/>
                <w:szCs w:val="20"/>
              </w:rPr>
            </w:pPr>
            <w:r>
              <w:rPr>
                <w:rFonts w:hint="eastAsia" w:ascii="宋体" w:hAnsi="宋体"/>
                <w:sz w:val="24"/>
                <w:szCs w:val="20"/>
              </w:rPr>
              <w:t>接采购人通知10日内出具审计报告</w:t>
            </w:r>
          </w:p>
        </w:tc>
      </w:tr>
    </w:tbl>
    <w:p>
      <w:pPr>
        <w:shd w:val="clear" w:color="auto" w:fill="FFFFFF"/>
        <w:tabs>
          <w:tab w:val="left" w:pos="2730"/>
        </w:tabs>
        <w:spacing w:line="360" w:lineRule="auto"/>
        <w:ind w:firstLine="472" w:firstLineChars="196"/>
        <w:rPr>
          <w:rFonts w:ascii="宋体" w:hAnsi="宋体"/>
          <w:b/>
          <w:bCs/>
          <w:sz w:val="24"/>
          <w:szCs w:val="32"/>
          <w:shd w:val="clear" w:color="auto" w:fill="FFFFFF"/>
        </w:rPr>
      </w:pPr>
      <w:r>
        <w:rPr>
          <w:rFonts w:hint="eastAsia" w:ascii="宋体" w:hAnsi="宋体"/>
          <w:b/>
          <w:bCs/>
          <w:sz w:val="24"/>
          <w:szCs w:val="32"/>
          <w:shd w:val="clear" w:color="auto" w:fill="FFFFFF"/>
        </w:rPr>
        <w:t>二、服务内容</w:t>
      </w:r>
    </w:p>
    <w:p>
      <w:pPr>
        <w:shd w:val="clear" w:color="auto" w:fill="FFFFFF"/>
        <w:tabs>
          <w:tab w:val="left" w:pos="2730"/>
        </w:tabs>
        <w:spacing w:line="360" w:lineRule="auto"/>
        <w:ind w:firstLine="470" w:firstLineChars="196"/>
        <w:rPr>
          <w:rFonts w:ascii="Times New Roman" w:hAnsi="Times New Roman"/>
          <w:sz w:val="24"/>
        </w:rPr>
      </w:pPr>
      <w:r>
        <w:rPr>
          <w:rFonts w:hint="eastAsia" w:ascii="Times New Roman" w:hAnsi="Times New Roman"/>
          <w:sz w:val="24"/>
        </w:rPr>
        <w:t>采购内容包含出具黄山市屯溪区昱城产业投资控股有限公司两年连审合并审计报告（2022年-2023年）及对2024年9月30日报表及附注进行复核。</w:t>
      </w:r>
    </w:p>
    <w:p>
      <w:pPr>
        <w:pStyle w:val="2"/>
        <w:ind w:firstLine="640"/>
        <w:rPr>
          <w:rFonts w:hint="eastAsia"/>
        </w:rPr>
      </w:pPr>
    </w:p>
    <w:p>
      <w:pPr>
        <w:spacing w:line="400" w:lineRule="exact"/>
        <w:jc w:val="center"/>
        <w:rPr>
          <w:rFonts w:ascii="Times New Roman" w:hAnsi="Times New Roman"/>
        </w:rPr>
      </w:pPr>
      <w:r>
        <w:rPr>
          <w:rFonts w:ascii="Times New Roman" w:hAnsi="Times New Roman"/>
        </w:rPr>
        <w:br w:type="page"/>
      </w:r>
    </w:p>
    <w:p>
      <w:pPr>
        <w:pStyle w:val="5"/>
        <w:rPr>
          <w:color w:val="auto"/>
        </w:rPr>
      </w:pPr>
      <w:bookmarkStart w:id="255" w:name="_Toc84601119"/>
      <w:r>
        <w:rPr>
          <w:color w:val="auto"/>
        </w:rPr>
        <w:t>第四章  评审办法</w:t>
      </w:r>
      <w:bookmarkEnd w:id="254"/>
      <w:r>
        <w:rPr>
          <w:color w:val="auto"/>
        </w:rPr>
        <w:t>（最低价法）</w:t>
      </w:r>
      <w:bookmarkEnd w:id="255"/>
    </w:p>
    <w:p>
      <w:pPr>
        <w:pStyle w:val="6"/>
        <w:rPr>
          <w:rFonts w:ascii="Times New Roman" w:hAnsi="Times New Roman"/>
        </w:rPr>
      </w:pPr>
      <w:bookmarkStart w:id="256" w:name="_Toc81853796"/>
      <w:r>
        <w:rPr>
          <w:rFonts w:ascii="Times New Roman" w:hAnsi="Times New Roman"/>
        </w:rPr>
        <w:t>评审办法前附表</w:t>
      </w:r>
      <w:bookmarkEnd w:id="256"/>
    </w:p>
    <w:tbl>
      <w:tblPr>
        <w:tblStyle w:val="30"/>
        <w:tblW w:w="864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085"/>
        <w:gridCol w:w="2317"/>
        <w:gridCol w:w="45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rPr>
              <w:br w:type="page"/>
            </w: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评审因素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2.1.1</w:t>
            </w:r>
          </w:p>
        </w:tc>
        <w:tc>
          <w:tcPr>
            <w:tcW w:w="1085"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形式评审标准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供应商名称</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与市场监管部门或其他行政机关颁发的可以合法开展业务的执照或证书一致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响应文件签字盖章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符合第二章第3.7.2项及第3.7.3项的规定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联合体协议书</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递交联合体协议书，并明确联合体牵头人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tcPr>
          <w:p>
            <w:pPr>
              <w:adjustRightInd w:val="0"/>
              <w:snapToGrid w:val="0"/>
              <w:rPr>
                <w:rFonts w:ascii="Times New Roman" w:hAnsi="Times New Roman"/>
              </w:rPr>
            </w:pPr>
          </w:p>
        </w:tc>
        <w:tc>
          <w:tcPr>
            <w:tcW w:w="1085" w:type="dxa"/>
            <w:vMerge w:val="continue"/>
            <w:tcBorders>
              <w:right w:val="single" w:color="auto" w:sz="4" w:space="0"/>
            </w:tcBorders>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响应函中实质性内容</w:t>
            </w:r>
          </w:p>
        </w:tc>
        <w:tc>
          <w:tcPr>
            <w:tcW w:w="4536" w:type="dxa"/>
            <w:tcBorders>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符合第六章响应函要求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2.1.2</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资格评审标准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依法设立</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符合第一章第3.1款及供应商须知前附表第3.5（1）款规定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资质要求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财务要求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符合第一章第3.1款及供应商须知前附表第3.5（3）款规定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业绩要求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符合第一章第3.1款及供应商须知前附表第3.5（4）款规定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信誉要求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符合第一章第3.1款及供应商须知前附表第3.5（5）款规定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人员要求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其他要求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符合第一章第3.1款供应商须知前附表第3.5（7）款规定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不存在第一章第</w:t>
            </w:r>
            <w:r>
              <w:rPr>
                <w:rFonts w:ascii="Times New Roman" w:hAnsi="Times New Roman"/>
                <w:szCs w:val="21"/>
              </w:rPr>
              <w:t>3.2款</w:t>
            </w:r>
            <w:r>
              <w:rPr>
                <w:rFonts w:ascii="Times New Roman" w:hAnsi="Times New Roman"/>
              </w:rPr>
              <w:t>情形</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符合第一章第3.2款及供应商须知前附表第3.5（8）款规定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联合体供应商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符合第一章第3.3 款及供应商须知前附表第3.5（9）款规定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2.1.3</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响应性评审标准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报价</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响应文件有效期</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响应保证金</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响应方案</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质量标准</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完成期限</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合同条款</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符合第二章第1.10.1项规定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对非关键条款的偏差</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偏差范围和偏差项数符合第二章第1.10.2项的规定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2.2.2</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评审价格</w:t>
            </w:r>
          </w:p>
        </w:tc>
        <w:tc>
          <w:tcPr>
            <w:tcW w:w="4536" w:type="dxa"/>
            <w:tcBorders>
              <w:top w:val="single" w:color="auto" w:sz="4" w:space="0"/>
              <w:left w:val="single" w:color="auto" w:sz="4" w:space="0"/>
            </w:tcBorders>
            <w:vAlign w:val="center"/>
          </w:tcPr>
          <w:p>
            <w:pPr>
              <w:adjustRightInd w:val="0"/>
              <w:snapToGrid w:val="0"/>
              <w:rPr>
                <w:rFonts w:ascii="Times New Roman" w:hAnsi="Times New Roman"/>
                <w:sz w:val="32"/>
                <w:szCs w:val="32"/>
              </w:rPr>
            </w:pPr>
            <w:r>
              <w:rPr>
                <w:rFonts w:ascii="Times New Roman" w:hAnsi="Times New Roman"/>
              </w:rPr>
              <w:t>以最终报价的含税价格为准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条款号</w:t>
            </w:r>
          </w:p>
        </w:tc>
        <w:tc>
          <w:tcPr>
            <w:tcW w:w="2317" w:type="dxa"/>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条款内容</w:t>
            </w:r>
          </w:p>
        </w:tc>
        <w:tc>
          <w:tcPr>
            <w:tcW w:w="4536" w:type="dxa"/>
            <w:tcBorders>
              <w:top w:val="single" w:color="auto" w:sz="4" w:space="0"/>
              <w:left w:val="single" w:color="auto" w:sz="4" w:space="0"/>
            </w:tcBorders>
            <w:vAlign w:val="center"/>
          </w:tcPr>
          <w:p>
            <w:pPr>
              <w:adjustRightInd w:val="0"/>
              <w:snapToGrid w:val="0"/>
              <w:jc w:val="center"/>
              <w:rPr>
                <w:rFonts w:ascii="Times New Roman" w:hAnsi="Times New Roman"/>
                <w:b/>
              </w:rPr>
            </w:pPr>
            <w:r>
              <w:rPr>
                <w:rFonts w:ascii="Times New Roman" w:hAnsi="Times New Roman"/>
                <w:b/>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供应商并列时确定供应商优先顺序的规则</w:t>
            </w:r>
          </w:p>
        </w:tc>
        <w:tc>
          <w:tcPr>
            <w:tcW w:w="4536" w:type="dxa"/>
            <w:tcBorders>
              <w:top w:val="single" w:color="auto" w:sz="4" w:space="0"/>
              <w:left w:val="single" w:color="auto" w:sz="4" w:space="0"/>
              <w:bottom w:val="single" w:color="auto" w:sz="4" w:space="0"/>
              <w:right w:val="single" w:color="auto" w:sz="4" w:space="0"/>
            </w:tcBorders>
          </w:tcPr>
          <w:p>
            <w:pPr>
              <w:adjustRightInd w:val="0"/>
              <w:snapToGrid w:val="0"/>
              <w:jc w:val="left"/>
              <w:rPr>
                <w:rFonts w:ascii="Times New Roman" w:hAnsi="Times New Roman"/>
              </w:rPr>
            </w:pPr>
            <w:r>
              <w:rPr>
                <w:rFonts w:ascii="Times New Roman" w:hAnsi="Times New Roman"/>
              </w:rPr>
              <w:sym w:font="Wingdings 2" w:char="F052"/>
            </w:r>
            <w:r>
              <w:rPr>
                <w:rFonts w:ascii="Times New Roman" w:hAnsi="Times New Roman"/>
              </w:rPr>
              <w:t>由评审小组投票决定</w:t>
            </w:r>
          </w:p>
          <w:p>
            <w:pPr>
              <w:adjustRightInd w:val="0"/>
              <w:snapToGrid w:val="0"/>
              <w:jc w:val="left"/>
              <w:rPr>
                <w:rFonts w:ascii="Times New Roman" w:hAnsi="Times New Roman"/>
              </w:rPr>
            </w:pPr>
            <w:r>
              <w:rPr>
                <w:rFonts w:ascii="Times New Roman" w:hAnsi="Times New Roman"/>
              </w:rPr>
              <w:sym w:font="Wingdings 2" w:char="00A3"/>
            </w:r>
            <w:r>
              <w:rPr>
                <w:rFonts w:ascii="Times New Roman" w:hAnsi="Times New Roman"/>
              </w:rPr>
              <w:t>由评审小组抽签决定</w:t>
            </w:r>
          </w:p>
          <w:p>
            <w:pPr>
              <w:adjustRightInd w:val="0"/>
              <w:snapToGrid w:val="0"/>
              <w:jc w:val="left"/>
              <w:rPr>
                <w:rFonts w:ascii="Times New Roman" w:hAnsi="Times New Roman"/>
              </w:rPr>
            </w:pPr>
            <w:r>
              <w:rPr>
                <w:rFonts w:ascii="Times New Roman" w:hAnsi="Times New Roman"/>
              </w:rPr>
              <w:sym w:font="Wingdings 2" w:char="00A3"/>
            </w:r>
            <w:r>
              <w:rPr>
                <w:rFonts w:ascii="Times New Roman" w:hAnsi="Times New Roman"/>
              </w:rPr>
              <w:t>其他方法：</w:t>
            </w:r>
            <w:r>
              <w:rPr>
                <w:rFonts w:ascii="Times New Roman" w:hAnsi="Times New Roman"/>
                <w:u w:val="single"/>
              </w:rPr>
              <w:t xml:space="preserve">        </w:t>
            </w:r>
          </w:p>
        </w:tc>
      </w:tr>
      <w:bookmarkEnd w:id="251"/>
    </w:tbl>
    <w:p>
      <w:pPr>
        <w:widowControl/>
        <w:jc w:val="left"/>
        <w:rPr>
          <w:rFonts w:ascii="Times New Roman" w:hAnsi="Times New Roman" w:eastAsia="黑体"/>
          <w:b/>
          <w:sz w:val="32"/>
          <w:szCs w:val="20"/>
        </w:rPr>
      </w:pPr>
      <w:bookmarkStart w:id="257" w:name="_Toc501460713"/>
      <w:r>
        <w:rPr>
          <w:rFonts w:ascii="Times New Roman" w:hAnsi="Times New Roman"/>
        </w:rPr>
        <w:br w:type="page"/>
      </w:r>
    </w:p>
    <w:p>
      <w:pPr>
        <w:pStyle w:val="6"/>
        <w:rPr>
          <w:rFonts w:ascii="Times New Roman" w:hAnsi="Times New Roman"/>
        </w:rPr>
      </w:pPr>
      <w:bookmarkStart w:id="258" w:name="_Toc81853797"/>
      <w:r>
        <w:rPr>
          <w:rFonts w:ascii="Times New Roman" w:hAnsi="Times New Roman"/>
        </w:rPr>
        <w:t>1. 评审</w:t>
      </w:r>
      <w:bookmarkEnd w:id="257"/>
      <w:r>
        <w:rPr>
          <w:rFonts w:ascii="Times New Roman" w:hAnsi="Times New Roman"/>
        </w:rPr>
        <w:t>方法</w:t>
      </w:r>
      <w:bookmarkEnd w:id="258"/>
    </w:p>
    <w:p>
      <w:pPr>
        <w:spacing w:line="400" w:lineRule="exact"/>
        <w:ind w:firstLine="420" w:firstLineChars="200"/>
        <w:rPr>
          <w:rFonts w:ascii="Times New Roman" w:hAnsi="Times New Roman"/>
        </w:rPr>
      </w:pPr>
      <w:r>
        <w:rPr>
          <w:rFonts w:ascii="Times New Roman" w:hAnsi="Times New Roman"/>
        </w:rPr>
        <w:t>本次评审采用最低价法。评审小组对满足采购文件实质性要求的响应文件，根据本章第2.2.2项规定的方法确定供应商响应报价的评审价格，并按照评审价格由低到高的顺序推荐候选成交供应商。</w:t>
      </w:r>
    </w:p>
    <w:p>
      <w:pPr>
        <w:pStyle w:val="6"/>
        <w:rPr>
          <w:rFonts w:ascii="Times New Roman" w:hAnsi="Times New Roman"/>
        </w:rPr>
      </w:pPr>
      <w:bookmarkStart w:id="259" w:name="_Toc501460714"/>
      <w:bookmarkStart w:id="260" w:name="_Toc81853799"/>
      <w:r>
        <w:rPr>
          <w:rFonts w:ascii="Times New Roman" w:hAnsi="Times New Roman"/>
        </w:rPr>
        <w:t>2. 初步评审标准</w:t>
      </w:r>
      <w:bookmarkEnd w:id="259"/>
      <w:r>
        <w:rPr>
          <w:rFonts w:ascii="Times New Roman" w:hAnsi="Times New Roman"/>
        </w:rPr>
        <w:t>和程序</w:t>
      </w:r>
      <w:bookmarkEnd w:id="260"/>
    </w:p>
    <w:p>
      <w:pPr>
        <w:pStyle w:val="7"/>
        <w:spacing w:line="240" w:lineRule="auto"/>
        <w:ind w:firstLine="137"/>
        <w:rPr>
          <w:rFonts w:ascii="Times New Roman" w:hAnsi="Times New Roman"/>
        </w:rPr>
      </w:pPr>
      <w:bookmarkStart w:id="261" w:name="_Toc81853800"/>
      <w:bookmarkStart w:id="262" w:name="_Toc501460715"/>
      <w:r>
        <w:rPr>
          <w:rFonts w:ascii="Times New Roman" w:hAnsi="Times New Roman"/>
        </w:rPr>
        <w:t>2.1 初步评审标准</w:t>
      </w:r>
      <w:bookmarkEnd w:id="261"/>
      <w:bookmarkEnd w:id="262"/>
    </w:p>
    <w:p>
      <w:pPr>
        <w:spacing w:line="400" w:lineRule="exact"/>
        <w:ind w:firstLine="420" w:firstLineChars="200"/>
        <w:rPr>
          <w:rFonts w:ascii="Times New Roman" w:hAnsi="Times New Roman"/>
        </w:rPr>
      </w:pPr>
      <w:r>
        <w:rPr>
          <w:rFonts w:ascii="Times New Roman" w:hAnsi="Times New Roman"/>
        </w:rPr>
        <w:t>2.1.1 形式评审标准：见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2.1.2 资格评审标准：见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2.1.3 响应性评审标准：见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bookmarkStart w:id="263" w:name="_Toc81853801"/>
      <w:bookmarkStart w:id="264" w:name="_Toc501460716"/>
      <w:r>
        <w:rPr>
          <w:rFonts w:ascii="Times New Roman" w:hAnsi="Times New Roman"/>
        </w:rPr>
        <w:t>2.2 初步评审程序</w:t>
      </w:r>
      <w:bookmarkEnd w:id="263"/>
    </w:p>
    <w:p>
      <w:pPr>
        <w:spacing w:line="400" w:lineRule="exact"/>
        <w:ind w:firstLine="420" w:firstLineChars="200"/>
        <w:rPr>
          <w:rFonts w:ascii="Times New Roman" w:hAnsi="Times New Roman"/>
        </w:rPr>
      </w:pPr>
      <w:r>
        <w:rPr>
          <w:rFonts w:ascii="Times New Roman" w:hAnsi="Times New Roman"/>
        </w:rPr>
        <w:t>2.2.1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2.2.2 除评审办法前附表另有规定外，评审价格为供应商在响应函中填报的大写含税价格。</w:t>
      </w:r>
    </w:p>
    <w:p>
      <w:pPr>
        <w:spacing w:line="400" w:lineRule="exact"/>
        <w:ind w:firstLine="420" w:firstLineChars="200"/>
        <w:rPr>
          <w:rFonts w:ascii="Times New Roman" w:hAnsi="Times New Roman"/>
        </w:rPr>
      </w:pPr>
      <w:r>
        <w:rPr>
          <w:rFonts w:ascii="Times New Roman" w:hAnsi="Times New Roman"/>
        </w:rPr>
        <w:t>评审价格若超过最高限价（如有），其响应文件将被视为无效。</w:t>
      </w:r>
    </w:p>
    <w:p>
      <w:pPr>
        <w:spacing w:line="400" w:lineRule="exact"/>
        <w:ind w:firstLine="420" w:firstLineChars="200"/>
        <w:rPr>
          <w:rFonts w:ascii="Times New Roman" w:hAnsi="Times New Roman"/>
        </w:rPr>
      </w:pPr>
      <w:r>
        <w:rPr>
          <w:rFonts w:ascii="Times New Roman" w:hAnsi="Times New Roman"/>
        </w:rPr>
        <w:t>评审小组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pPr>
        <w:spacing w:line="400" w:lineRule="exact"/>
        <w:ind w:firstLine="420" w:firstLineChars="200"/>
        <w:rPr>
          <w:rFonts w:ascii="Times New Roman" w:hAnsi="Times New Roman"/>
        </w:rPr>
      </w:pPr>
      <w:r>
        <w:rPr>
          <w:rFonts w:ascii="Times New Roman" w:hAnsi="Times New Roman"/>
        </w:rPr>
        <w:t>2.2.3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pPr>
        <w:spacing w:line="400" w:lineRule="exact"/>
        <w:ind w:firstLine="420" w:firstLineChars="200"/>
        <w:rPr>
          <w:rFonts w:ascii="Times New Roman" w:hAnsi="Times New Roman"/>
        </w:rPr>
      </w:pPr>
      <w:r>
        <w:rPr>
          <w:rFonts w:ascii="Times New Roman" w:hAnsi="Times New Roman"/>
        </w:rPr>
        <w:t>响应文件有算术错误及其他错误的，评审小组按以下原则要求供应商对响应报价进行修正，并要求供应商书面澄清确认。供应商拒不澄清确认的，其响应文件将被视为无效：</w:t>
      </w:r>
    </w:p>
    <w:p>
      <w:pPr>
        <w:spacing w:line="400" w:lineRule="exact"/>
        <w:ind w:firstLine="420" w:firstLineChars="200"/>
        <w:rPr>
          <w:rFonts w:ascii="Times New Roman" w:hAnsi="Times New Roman"/>
        </w:rPr>
      </w:pPr>
      <w:r>
        <w:rPr>
          <w:rFonts w:ascii="Times New Roman" w:hAnsi="Times New Roman"/>
        </w:rPr>
        <w:t>（1）大写金额与小写金额不一致的，以大写金额为准；</w:t>
      </w:r>
    </w:p>
    <w:p>
      <w:pPr>
        <w:spacing w:line="400" w:lineRule="exact"/>
        <w:ind w:firstLine="420" w:firstLineChars="200"/>
        <w:rPr>
          <w:rFonts w:ascii="Times New Roman" w:hAnsi="Times New Roman"/>
        </w:rPr>
      </w:pPr>
      <w:r>
        <w:rPr>
          <w:rFonts w:ascii="Times New Roman" w:hAnsi="Times New Roman"/>
        </w:rPr>
        <w:t>（2）总价金额与单价金额不一致的以单价金额为准，但单价金额小数点有明显错误的除外；</w:t>
      </w:r>
    </w:p>
    <w:p>
      <w:pPr>
        <w:spacing w:line="400" w:lineRule="exact"/>
        <w:ind w:firstLine="420" w:firstLineChars="200"/>
        <w:rPr>
          <w:rFonts w:ascii="Times New Roman" w:hAnsi="Times New Roman"/>
        </w:rPr>
      </w:pPr>
      <w:r>
        <w:rPr>
          <w:rFonts w:ascii="Times New Roman" w:hAnsi="Times New Roman"/>
        </w:rPr>
        <w:t>（3）报价表合计报价与分项报价的合计不一致的，以各分项报价的合计累计数为准；</w:t>
      </w:r>
    </w:p>
    <w:p>
      <w:pPr>
        <w:spacing w:line="400" w:lineRule="exact"/>
        <w:ind w:firstLine="420" w:firstLineChars="200"/>
        <w:rPr>
          <w:rFonts w:ascii="Times New Roman" w:hAnsi="Times New Roman"/>
        </w:rPr>
      </w:pPr>
      <w:r>
        <w:rPr>
          <w:rFonts w:ascii="Times New Roman" w:hAnsi="Times New Roman"/>
        </w:rPr>
        <w:t>（4）如果分项报价中存在缺漏项，且缺漏项内容不属于实质性偏差的，则视为缺漏项内容的价格已包含在其他分项报价之中。</w:t>
      </w:r>
    </w:p>
    <w:p>
      <w:pPr>
        <w:spacing w:line="400" w:lineRule="exact"/>
        <w:ind w:firstLine="420" w:firstLineChars="200"/>
        <w:rPr>
          <w:rFonts w:ascii="Times New Roman" w:hAnsi="Times New Roman"/>
        </w:rPr>
      </w:pPr>
      <w:r>
        <w:rPr>
          <w:rFonts w:ascii="Times New Roman" w:hAnsi="Times New Roman"/>
        </w:rPr>
        <w:t>响应报价的算术错误修正不改变评审依据的响应总报价。当修正后的总报价高于原响应报价时，视同供应商响应报价错误产生少漏计费用，签订合同时由供应商承担，如评审小组认为供应商无法承受少漏计费用，可以将响应报价作为异常低价处理；当修正后的总报价低于原响应报价时，签订合同时以修正后的报价为准。</w:t>
      </w:r>
    </w:p>
    <w:bookmarkEnd w:id="264"/>
    <w:p>
      <w:pPr>
        <w:spacing w:line="400" w:lineRule="exact"/>
        <w:ind w:firstLine="420" w:firstLineChars="200"/>
        <w:rPr>
          <w:rFonts w:ascii="Times New Roman" w:hAnsi="Times New Roman"/>
        </w:rPr>
      </w:pPr>
      <w:r>
        <w:rPr>
          <w:rFonts w:ascii="Times New Roman" w:hAnsi="Times New Roman"/>
        </w:rPr>
        <w:t>2.2.4供应商有串通、弄虚作假、行贿等违法行为的，其响应文件将被视为无效。</w:t>
      </w:r>
    </w:p>
    <w:p>
      <w:pPr>
        <w:spacing w:line="400" w:lineRule="exact"/>
        <w:ind w:firstLine="420" w:firstLineChars="200"/>
        <w:rPr>
          <w:rFonts w:ascii="Times New Roman" w:hAnsi="Times New Roman"/>
        </w:rPr>
      </w:pPr>
      <w:r>
        <w:rPr>
          <w:rFonts w:ascii="Times New Roman" w:hAnsi="Times New Roman"/>
        </w:rPr>
        <w:t>2.2.5特殊情形处理</w:t>
      </w:r>
    </w:p>
    <w:p>
      <w:pPr>
        <w:spacing w:line="400" w:lineRule="exact"/>
        <w:ind w:firstLine="420" w:firstLineChars="200"/>
        <w:rPr>
          <w:rFonts w:ascii="Times New Roman" w:hAnsi="Times New Roman"/>
        </w:rPr>
      </w:pPr>
      <w:r>
        <w:rPr>
          <w:rFonts w:ascii="Times New Roman" w:hAnsi="Times New Roman"/>
        </w:rPr>
        <w:t>初步评审后，如评审小组认为所有响应文件均无效，或者所有响应报价竞争性不足，高于市场预期价格，评审小组应当终止评审，获经采购人同意，直接转换选择其他采购方式，与原供应商共同完成后续采购程序。</w:t>
      </w:r>
    </w:p>
    <w:p>
      <w:pPr>
        <w:spacing w:line="400" w:lineRule="exact"/>
        <w:ind w:firstLine="420" w:firstLineChars="200"/>
        <w:rPr>
          <w:rFonts w:ascii="Times New Roman" w:hAnsi="Times New Roman"/>
        </w:rPr>
      </w:pPr>
      <w:r>
        <w:rPr>
          <w:rFonts w:ascii="Times New Roman" w:hAnsi="Times New Roman"/>
        </w:rPr>
        <w:t>选择直接转换采购方式采购的，评审小组按照本章第5条“直接转换采购方式评审程序”重新评审。除了采购人与供应商双方提出修改补充兵接受新的条件和要求外，原采购文件与原响应文件对采购人和供应商仍然具有相应约束力。</w:t>
      </w:r>
    </w:p>
    <w:p>
      <w:pPr>
        <w:pStyle w:val="6"/>
        <w:rPr>
          <w:rFonts w:ascii="Times New Roman" w:hAnsi="Times New Roman"/>
        </w:rPr>
      </w:pPr>
      <w:bookmarkStart w:id="265" w:name="_Toc81853802"/>
      <w:r>
        <w:rPr>
          <w:rFonts w:ascii="Times New Roman" w:hAnsi="Times New Roman"/>
        </w:rPr>
        <w:t>3. 详细评审标准和程序</w:t>
      </w:r>
      <w:bookmarkEnd w:id="265"/>
    </w:p>
    <w:p>
      <w:pPr>
        <w:spacing w:line="400" w:lineRule="exact"/>
        <w:ind w:firstLine="420" w:firstLineChars="200"/>
        <w:rPr>
          <w:rFonts w:ascii="Times New Roman" w:hAnsi="Times New Roman"/>
        </w:rPr>
      </w:pPr>
      <w:r>
        <w:rPr>
          <w:rFonts w:ascii="Times New Roman" w:hAnsi="Times New Roman"/>
        </w:rPr>
        <w:t>评审小组对评审价格进行比较后，按照评审价格由低到高的顺序对供应商排序。供应商评审价格相等时，按照评审办法前附表的规定确定供应商优先顺序。</w:t>
      </w:r>
    </w:p>
    <w:p>
      <w:pPr>
        <w:pStyle w:val="6"/>
        <w:rPr>
          <w:rFonts w:ascii="Times New Roman" w:hAnsi="Times New Roman"/>
        </w:rPr>
      </w:pPr>
      <w:bookmarkStart w:id="266" w:name="_Toc144974570"/>
      <w:bookmarkEnd w:id="266"/>
      <w:bookmarkStart w:id="267" w:name="_Toc2907"/>
      <w:bookmarkEnd w:id="267"/>
      <w:bookmarkStart w:id="268" w:name="_Toc152042380"/>
      <w:bookmarkEnd w:id="268"/>
      <w:bookmarkStart w:id="269" w:name="_Toc369531582"/>
      <w:bookmarkEnd w:id="269"/>
      <w:bookmarkStart w:id="270" w:name="_Toc361508651"/>
      <w:bookmarkEnd w:id="270"/>
      <w:bookmarkStart w:id="271" w:name="_Toc247527628"/>
      <w:bookmarkEnd w:id="271"/>
      <w:bookmarkStart w:id="272" w:name="_Toc352691538"/>
      <w:bookmarkEnd w:id="272"/>
      <w:bookmarkStart w:id="273" w:name="_Toc247514027"/>
      <w:bookmarkEnd w:id="273"/>
      <w:bookmarkStart w:id="274" w:name="_Toc384308277"/>
      <w:bookmarkEnd w:id="274"/>
      <w:bookmarkStart w:id="275" w:name="_Toc152045603"/>
      <w:bookmarkEnd w:id="275"/>
      <w:bookmarkStart w:id="276" w:name="_Toc300835013"/>
      <w:bookmarkEnd w:id="276"/>
      <w:bookmarkStart w:id="277" w:name="_Toc342"/>
      <w:bookmarkEnd w:id="277"/>
      <w:bookmarkStart w:id="278" w:name="_Toc81853811"/>
      <w:bookmarkStart w:id="279" w:name="_Toc501460721"/>
      <w:bookmarkStart w:id="280" w:name="_Toc501460722"/>
      <w:r>
        <w:rPr>
          <w:rFonts w:ascii="Times New Roman" w:hAnsi="Times New Roman"/>
        </w:rPr>
        <w:t>4. 评审结果</w:t>
      </w:r>
      <w:bookmarkEnd w:id="278"/>
      <w:bookmarkEnd w:id="279"/>
    </w:p>
    <w:p>
      <w:pPr>
        <w:pStyle w:val="7"/>
        <w:spacing w:line="240" w:lineRule="auto"/>
        <w:ind w:firstLine="137"/>
        <w:rPr>
          <w:rFonts w:ascii="Times New Roman" w:hAnsi="Times New Roman"/>
        </w:rPr>
      </w:pPr>
      <w:bookmarkStart w:id="281" w:name="_Toc81853812"/>
      <w:r>
        <w:rPr>
          <w:rFonts w:ascii="Times New Roman" w:hAnsi="Times New Roman"/>
        </w:rPr>
        <w:t>4.1 提交书面评审报告</w:t>
      </w:r>
      <w:bookmarkEnd w:id="281"/>
    </w:p>
    <w:p>
      <w:pPr>
        <w:spacing w:line="400" w:lineRule="exact"/>
        <w:ind w:firstLine="420" w:firstLineChars="200"/>
        <w:rPr>
          <w:rFonts w:ascii="Times New Roman" w:hAnsi="Times New Roman"/>
        </w:rPr>
      </w:pPr>
      <w:r>
        <w:rPr>
          <w:rFonts w:ascii="Times New Roman" w:hAnsi="Times New Roman"/>
        </w:rPr>
        <w:t>评审小组完成评审后，应当向采购人提交书面评审报告。</w:t>
      </w:r>
    </w:p>
    <w:p>
      <w:pPr>
        <w:pStyle w:val="7"/>
        <w:spacing w:line="240" w:lineRule="auto"/>
        <w:ind w:firstLine="137"/>
        <w:rPr>
          <w:rFonts w:ascii="Times New Roman" w:hAnsi="Times New Roman"/>
        </w:rPr>
      </w:pPr>
      <w:bookmarkStart w:id="282" w:name="_Toc81853813"/>
      <w:r>
        <w:rPr>
          <w:rFonts w:ascii="Times New Roman" w:hAnsi="Times New Roman"/>
        </w:rPr>
        <w:t>4.2 推荐候选成交供应商排序要求及数量</w:t>
      </w:r>
      <w:bookmarkEnd w:id="282"/>
    </w:p>
    <w:p>
      <w:pPr>
        <w:spacing w:line="400" w:lineRule="exact"/>
        <w:ind w:firstLine="420" w:firstLineChars="200"/>
        <w:rPr>
          <w:rFonts w:ascii="Times New Roman" w:hAnsi="Times New Roman"/>
        </w:rPr>
      </w:pPr>
      <w:r>
        <w:rPr>
          <w:rFonts w:ascii="Times New Roman" w:hAnsi="Times New Roman"/>
        </w:rPr>
        <w:t>评审小组应在书面评审报告中按照供应商排列的优先顺序向采购人推荐候选成交供应商（排序或不排序）。候选成交供应商的排序要求及数量见</w:t>
      </w:r>
      <w:r>
        <w:rPr>
          <w:rFonts w:ascii="Times New Roman" w:hAnsi="Times New Roman" w:eastAsia="黑体"/>
          <w:iCs/>
        </w:rPr>
        <w:t>第二章“供应商须知”</w:t>
      </w:r>
      <w:r>
        <w:rPr>
          <w:rFonts w:ascii="Times New Roman" w:hAnsi="Times New Roman"/>
        </w:rPr>
        <w:t>。</w:t>
      </w:r>
    </w:p>
    <w:p>
      <w:pPr>
        <w:pStyle w:val="6"/>
        <w:rPr>
          <w:rFonts w:ascii="Times New Roman" w:hAnsi="Times New Roman"/>
        </w:rPr>
      </w:pPr>
      <w:bookmarkStart w:id="283" w:name="_Toc81853814"/>
      <w:r>
        <w:rPr>
          <w:rFonts w:ascii="Times New Roman" w:hAnsi="Times New Roman"/>
        </w:rPr>
        <w:t>5. 直接转换采购方式评审程序</w:t>
      </w:r>
      <w:bookmarkEnd w:id="283"/>
    </w:p>
    <w:p>
      <w:pPr>
        <w:pStyle w:val="7"/>
        <w:spacing w:line="240" w:lineRule="auto"/>
        <w:ind w:firstLine="137"/>
        <w:rPr>
          <w:rFonts w:ascii="Times New Roman" w:hAnsi="Times New Roman"/>
        </w:rPr>
      </w:pPr>
      <w:bookmarkStart w:id="284" w:name="_Toc81853815"/>
      <w:r>
        <w:rPr>
          <w:rFonts w:ascii="Times New Roman" w:hAnsi="Times New Roman"/>
        </w:rPr>
        <w:t>5.1 初步评审</w:t>
      </w:r>
      <w:bookmarkEnd w:id="284"/>
    </w:p>
    <w:p>
      <w:pPr>
        <w:spacing w:line="400" w:lineRule="exact"/>
        <w:ind w:firstLine="420" w:firstLineChars="200"/>
        <w:rPr>
          <w:rFonts w:ascii="Times New Roman" w:hAnsi="Times New Roman"/>
        </w:rPr>
      </w:pPr>
      <w:r>
        <w:rPr>
          <w:rFonts w:ascii="Times New Roman" w:hAnsi="Times New Roman"/>
        </w:rPr>
        <w:t>5.1.1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5.1.2 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pPr>
        <w:spacing w:line="400" w:lineRule="exact"/>
        <w:ind w:firstLine="420" w:firstLineChars="200"/>
        <w:rPr>
          <w:rFonts w:ascii="Times New Roman" w:hAnsi="Times New Roman"/>
        </w:rPr>
      </w:pPr>
      <w:r>
        <w:rPr>
          <w:rFonts w:ascii="Times New Roman" w:hAnsi="Times New Roman"/>
        </w:rPr>
        <w:t>5.1.3 只有形式评审和资格评审合格且实质性响应采购文件要求的供应商才可通过初步评审。经供应商澄清、说明和补正后仍未通过初步评审的响应文件将被视为无效，评审小组应告知有关供应商。</w:t>
      </w:r>
    </w:p>
    <w:p>
      <w:pPr>
        <w:spacing w:line="400" w:lineRule="exact"/>
        <w:ind w:firstLine="420" w:firstLineChars="200"/>
        <w:rPr>
          <w:rFonts w:ascii="Times New Roman" w:hAnsi="Times New Roman"/>
        </w:rPr>
      </w:pPr>
      <w:r>
        <w:rPr>
          <w:rFonts w:ascii="Times New Roman" w:hAnsi="Times New Roman"/>
        </w:rPr>
        <w:t>5.1.4 当通过初步评审的供应商数量大于第二章供应商须知第1.11款规定的成交供应商数量时，可以改为参照谈判方式继续评审选择成交供应商。</w:t>
      </w:r>
    </w:p>
    <w:p>
      <w:pPr>
        <w:spacing w:line="400" w:lineRule="exact"/>
        <w:ind w:firstLine="420" w:firstLineChars="200"/>
        <w:rPr>
          <w:rFonts w:ascii="Times New Roman" w:hAnsi="Times New Roman"/>
        </w:rPr>
      </w:pPr>
      <w:r>
        <w:rPr>
          <w:rFonts w:ascii="Times New Roman" w:hAnsi="Times New Roman"/>
        </w:rPr>
        <w:t>当通过初步评审的供应商数量等于第二章供应商须知第1.11款规定的成交供应商数量时，可以改为参照直接采购方式继续评审选择成交供应商。</w:t>
      </w:r>
    </w:p>
    <w:bookmarkEnd w:id="280"/>
    <w:p>
      <w:pPr>
        <w:spacing w:line="400" w:lineRule="exact"/>
        <w:ind w:firstLine="420" w:firstLineChars="200"/>
        <w:rPr>
          <w:rFonts w:ascii="Times New Roman" w:hAnsi="Times New Roman"/>
        </w:rPr>
      </w:pPr>
      <w:bookmarkStart w:id="285" w:name="_Toc501460733"/>
      <w:r>
        <w:rPr>
          <w:rFonts w:ascii="Times New Roman" w:hAnsi="Times New Roman"/>
        </w:rPr>
        <w:t>当第二章供应商须知第1.11款选择多家成交供应商时，通过初步评审的供应商数量小于约定成交供应商数量且大于等于一家的，可以改为参照直接采购方式继续评审选择一部分成交供应商，或者终止全部采购，重新组织采购选择选择全部成交供应商。</w:t>
      </w:r>
    </w:p>
    <w:p>
      <w:pPr>
        <w:spacing w:line="400" w:lineRule="exact"/>
        <w:ind w:firstLine="420" w:firstLineChars="200"/>
        <w:rPr>
          <w:rFonts w:ascii="Times New Roman" w:hAnsi="Times New Roman"/>
        </w:rPr>
      </w:pPr>
      <w:r>
        <w:rPr>
          <w:rFonts w:ascii="Times New Roman" w:hAnsi="Times New Roman"/>
        </w:rPr>
        <w:t>初步评审后，当所有响应文件均无效时，应重新组织采购。</w:t>
      </w:r>
    </w:p>
    <w:p>
      <w:pPr>
        <w:pStyle w:val="7"/>
        <w:spacing w:line="240" w:lineRule="auto"/>
        <w:ind w:firstLine="137"/>
        <w:rPr>
          <w:rFonts w:ascii="Times New Roman" w:hAnsi="Times New Roman"/>
        </w:rPr>
      </w:pPr>
      <w:bookmarkStart w:id="286" w:name="_Toc81853816"/>
      <w:r>
        <w:rPr>
          <w:rFonts w:ascii="Times New Roman" w:hAnsi="Times New Roman"/>
        </w:rPr>
        <w:t>5.2 转换采购方式</w:t>
      </w:r>
      <w:bookmarkEnd w:id="286"/>
    </w:p>
    <w:p>
      <w:pPr>
        <w:spacing w:line="400" w:lineRule="exact"/>
        <w:ind w:firstLine="420" w:firstLineChars="200"/>
        <w:rPr>
          <w:rFonts w:ascii="Times New Roman" w:hAnsi="Times New Roman"/>
        </w:rPr>
      </w:pPr>
      <w:r>
        <w:rPr>
          <w:rFonts w:ascii="Times New Roman" w:hAnsi="Times New Roman"/>
        </w:rPr>
        <w:t>5.2.1 参照谈判采购方式评审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1）评审小组应按照供应商递交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影响初步评审结果的内容。</w:t>
      </w:r>
    </w:p>
    <w:p>
      <w:pPr>
        <w:spacing w:line="400" w:lineRule="exact"/>
        <w:ind w:firstLine="420" w:firstLineChars="200"/>
        <w:rPr>
          <w:rFonts w:ascii="Times New Roman" w:hAnsi="Times New Roman"/>
        </w:rPr>
      </w:pPr>
      <w:r>
        <w:rPr>
          <w:rFonts w:ascii="Times New Roman" w:hAnsi="Times New Roman"/>
        </w:rPr>
        <w:t>2）供应商的法定代表人（单位负责人）或其授权的代理人应参加谈判。供应商的法定代表人（单位负责人）或其授权的代理人在谈判中作出的承诺构成响应文件的组成部分。</w:t>
      </w:r>
    </w:p>
    <w:p>
      <w:pPr>
        <w:spacing w:line="400" w:lineRule="exact"/>
        <w:ind w:firstLine="420" w:firstLineChars="200"/>
        <w:rPr>
          <w:rFonts w:ascii="Times New Roman" w:hAnsi="Times New Roman"/>
        </w:rPr>
      </w:pPr>
      <w:r>
        <w:rPr>
          <w:rFonts w:ascii="Times New Roman" w:hAnsi="Times New Roman"/>
        </w:rPr>
        <w:t>3）谈判结束后，评审小组将要求所有参加谈判的供应商在规定时间内递交最终报价。最终报价应由供应商的法定代表人（单位负责人）或其授权的代理人签字或加盖单位章。最终报价是供应商响应文件的组成部分。</w:t>
      </w:r>
    </w:p>
    <w:p>
      <w:pPr>
        <w:spacing w:line="400" w:lineRule="exact"/>
        <w:ind w:firstLine="420" w:firstLineChars="200"/>
        <w:rPr>
          <w:rFonts w:ascii="Times New Roman" w:hAnsi="Times New Roman"/>
        </w:rPr>
      </w:pPr>
      <w:r>
        <w:rPr>
          <w:rFonts w:ascii="Times New Roman" w:hAnsi="Times New Roman"/>
        </w:rPr>
        <w:t>（2）公开开启最终报价。</w:t>
      </w:r>
    </w:p>
    <w:p>
      <w:pPr>
        <w:spacing w:line="400" w:lineRule="exact"/>
        <w:ind w:firstLine="420" w:firstLineChars="200"/>
        <w:rPr>
          <w:rFonts w:ascii="Times New Roman" w:hAnsi="Times New Roman"/>
        </w:rPr>
      </w:pPr>
      <w:r>
        <w:rPr>
          <w:rFonts w:ascii="Times New Roman" w:hAnsi="Times New Roman"/>
        </w:rPr>
        <w:t>评审小组将在递交最终报价的截止时间公开开启最终报价，供应商未派代表参加开启会议的，视为默认开启结果。</w:t>
      </w:r>
    </w:p>
    <w:p>
      <w:pPr>
        <w:spacing w:line="400" w:lineRule="exact"/>
        <w:ind w:firstLine="420" w:firstLineChars="200"/>
        <w:rPr>
          <w:rFonts w:ascii="Times New Roman" w:hAnsi="Times New Roman"/>
        </w:rPr>
      </w:pPr>
      <w:r>
        <w:rPr>
          <w:rFonts w:ascii="Times New Roman" w:hAnsi="Times New Roman"/>
        </w:rPr>
        <w:t>（3）详细评审。</w:t>
      </w:r>
    </w:p>
    <w:p>
      <w:pPr>
        <w:spacing w:line="400" w:lineRule="exact"/>
        <w:ind w:firstLine="420" w:firstLineChars="200"/>
        <w:rPr>
          <w:rFonts w:ascii="Times New Roman" w:hAnsi="Times New Roman"/>
        </w:rPr>
      </w:pPr>
      <w:r>
        <w:rPr>
          <w:rFonts w:ascii="Times New Roman" w:hAnsi="Times New Roman"/>
        </w:rPr>
        <w:t>评审小组将按本章第3条规定对响应文件及其最终报价进行详细评审。采用综合评分法的，评审小组有权对本章第3.2款规定的评审基准价和第3.3（3）项规定的报价评分标准进行调整，但评审小组应在谈判开始前向供应商公布，未公布的，视为评审基准价和报价评分标准不作调整；详细评审标准中除报价评审标准外的其他评审标准不作调整。</w:t>
      </w:r>
    </w:p>
    <w:p>
      <w:pPr>
        <w:spacing w:line="400" w:lineRule="exact"/>
        <w:ind w:firstLine="420" w:firstLineChars="200"/>
        <w:rPr>
          <w:rFonts w:ascii="Times New Roman" w:hAnsi="Times New Roman"/>
        </w:rPr>
      </w:pPr>
      <w:r>
        <w:rPr>
          <w:rFonts w:ascii="Times New Roman" w:hAnsi="Times New Roman"/>
        </w:rPr>
        <w:t>通过谈判后，评审小组认为所有供应商的最终报价仍然不合理的，应向采购人提出终止采购建议。</w:t>
      </w:r>
    </w:p>
    <w:p>
      <w:pPr>
        <w:spacing w:line="400" w:lineRule="exact"/>
        <w:ind w:firstLine="420" w:firstLineChars="200"/>
        <w:rPr>
          <w:rFonts w:ascii="Times New Roman" w:hAnsi="Times New Roman"/>
        </w:rPr>
      </w:pPr>
      <w:r>
        <w:rPr>
          <w:rFonts w:ascii="Times New Roman" w:hAnsi="Times New Roman"/>
        </w:rPr>
        <w:t>（4）编写评审报告。</w:t>
      </w:r>
    </w:p>
    <w:p>
      <w:pPr>
        <w:spacing w:line="400" w:lineRule="exact"/>
        <w:ind w:firstLine="420" w:firstLineChars="200"/>
        <w:rPr>
          <w:rFonts w:ascii="Times New Roman" w:hAnsi="Times New Roman"/>
        </w:rPr>
      </w:pPr>
      <w:r>
        <w:rPr>
          <w:rFonts w:ascii="Times New Roman" w:hAnsi="Times New Roman"/>
        </w:rPr>
        <w:t>评审小组按本章第4.2款规定推荐候选成交供应商或按本章第5.2.1（3）项规定提出终止采购建议，并向采购人提交书面评审报告。</w:t>
      </w:r>
    </w:p>
    <w:p>
      <w:pPr>
        <w:spacing w:line="400" w:lineRule="exact"/>
        <w:ind w:firstLine="420" w:firstLineChars="200"/>
        <w:rPr>
          <w:rFonts w:ascii="Times New Roman" w:hAnsi="Times New Roman"/>
        </w:rPr>
      </w:pPr>
      <w:r>
        <w:rPr>
          <w:rFonts w:ascii="Times New Roman" w:hAnsi="Times New Roman"/>
        </w:rPr>
        <w:t>5.2.2 参照直接采购方式评审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评审小组所有成员集中与供应商进行谈判，供应商的法定代表人（单位负责人）或其授权的代理人应参加谈判。在谈判过程中，评审小组可根据谈判情况修改和补充采购文件的非实质性内容，但不得改变可能影响初步评审结果的内容。供应商的法定代表人（单位负责人）或其授权的代理人在谈判中作出的承诺构成响应文件的组成部分。评审小组可根据需要，安排多轮谈判。</w:t>
      </w:r>
    </w:p>
    <w:p>
      <w:pPr>
        <w:spacing w:line="400" w:lineRule="exact"/>
        <w:ind w:firstLine="420" w:firstLineChars="200"/>
        <w:rPr>
          <w:rFonts w:ascii="Times New Roman" w:hAnsi="Times New Roman"/>
        </w:rPr>
      </w:pPr>
      <w:r>
        <w:rPr>
          <w:rFonts w:ascii="Times New Roman" w:hAnsi="Times New Roman"/>
        </w:rPr>
        <w:t>（2）详细评审。</w:t>
      </w:r>
    </w:p>
    <w:p>
      <w:pPr>
        <w:spacing w:line="400" w:lineRule="exact"/>
        <w:ind w:firstLine="420" w:firstLineChars="200"/>
        <w:rPr>
          <w:rFonts w:ascii="Times New Roman" w:hAnsi="Times New Roman"/>
        </w:rPr>
      </w:pPr>
      <w:r>
        <w:rPr>
          <w:rFonts w:ascii="Times New Roman" w:hAnsi="Times New Roman"/>
        </w:rPr>
        <w:t>评审小组通过对采购成本、供应能力、风险管控、采购目标等的分析，对供应商拟提供标的的技术、商务进行物有所值综合评价。</w:t>
      </w:r>
    </w:p>
    <w:p>
      <w:pPr>
        <w:spacing w:line="400" w:lineRule="exact"/>
        <w:ind w:firstLine="420" w:firstLineChars="200"/>
        <w:rPr>
          <w:rFonts w:ascii="Times New Roman" w:hAnsi="Times New Roman"/>
        </w:rPr>
      </w:pPr>
      <w:r>
        <w:rPr>
          <w:rFonts w:ascii="Times New Roman" w:hAnsi="Times New Roman"/>
        </w:rPr>
        <w:t>（3）编写评审报告。</w:t>
      </w:r>
    </w:p>
    <w:p>
      <w:pPr>
        <w:spacing w:line="400" w:lineRule="exact"/>
        <w:ind w:firstLine="420" w:firstLineChars="200"/>
        <w:rPr>
          <w:rFonts w:ascii="Times New Roman" w:hAnsi="Times New Roman"/>
        </w:rPr>
      </w:pPr>
      <w:r>
        <w:rPr>
          <w:rFonts w:ascii="Times New Roman" w:hAnsi="Times New Roman"/>
        </w:rPr>
        <w:t>评审小组根据预期的谈判目标综合谈判纪要编写评审报告，推荐候选成交供应商或提出谈判终止建议。</w:t>
      </w:r>
    </w:p>
    <w:p>
      <w:pPr>
        <w:rPr>
          <w:rFonts w:ascii="Times New Roman" w:hAnsi="Times New Roman"/>
        </w:rPr>
      </w:pPr>
      <w:r>
        <w:rPr>
          <w:rFonts w:ascii="Times New Roman" w:hAnsi="Times New Roman"/>
        </w:rPr>
        <w:br w:type="page"/>
      </w:r>
    </w:p>
    <w:p>
      <w:pPr>
        <w:rPr>
          <w:rFonts w:ascii="Times New Roman" w:hAnsi="Times New Roman"/>
        </w:rPr>
      </w:pPr>
      <w:bookmarkStart w:id="287" w:name="_Toc81853817"/>
    </w:p>
    <w:p>
      <w:pPr>
        <w:pStyle w:val="5"/>
        <w:rPr>
          <w:color w:val="auto"/>
        </w:rPr>
      </w:pPr>
      <w:bookmarkStart w:id="288" w:name="_Toc84601121"/>
      <w:r>
        <w:rPr>
          <w:color w:val="auto"/>
        </w:rPr>
        <w:t>第五章  合同</w:t>
      </w:r>
      <w:bookmarkEnd w:id="285"/>
      <w:r>
        <w:rPr>
          <w:color w:val="auto"/>
        </w:rPr>
        <w:t>条款及格式</w:t>
      </w:r>
      <w:bookmarkEnd w:id="287"/>
      <w:bookmarkEnd w:id="288"/>
    </w:p>
    <w:p>
      <w:pPr>
        <w:rPr>
          <w:rFonts w:ascii="Times New Roman" w:hAnsi="Times New Roman"/>
        </w:rPr>
      </w:pPr>
    </w:p>
    <w:p>
      <w:pPr>
        <w:spacing w:before="72" w:beforeLines="30" w:after="72" w:afterLines="30" w:line="400" w:lineRule="atLeast"/>
        <w:jc w:val="center"/>
        <w:rPr>
          <w:rFonts w:ascii="Times New Roman" w:hAnsi="Times New Roman" w:eastAsia="黑体"/>
          <w:b/>
          <w:sz w:val="36"/>
        </w:rPr>
      </w:pPr>
      <w:r>
        <w:rPr>
          <w:rFonts w:ascii="Times New Roman" w:hAnsi="Times New Roman"/>
        </w:rPr>
        <w:br w:type="page"/>
      </w:r>
      <w:r>
        <w:rPr>
          <w:rFonts w:hint="eastAsia" w:ascii="Times New Roman" w:hAnsi="Times New Roman" w:eastAsia="黑体"/>
          <w:b/>
          <w:sz w:val="36"/>
        </w:rPr>
        <w:t>审计业务约定书</w:t>
      </w:r>
    </w:p>
    <w:p>
      <w:pPr>
        <w:spacing w:before="72" w:beforeLines="30" w:after="72" w:afterLines="30" w:line="400" w:lineRule="atLeast"/>
        <w:rPr>
          <w:rFonts w:ascii="Times New Roman" w:hAnsi="Times New Roman"/>
          <w:sz w:val="24"/>
        </w:rPr>
      </w:pPr>
      <w:r>
        <w:rPr>
          <w:rFonts w:hint="eastAsia" w:ascii="Times New Roman" w:hAnsi="Times New Roman"/>
          <w:sz w:val="24"/>
        </w:rPr>
        <w:t>甲方：</w:t>
      </w:r>
    </w:p>
    <w:p>
      <w:pPr>
        <w:spacing w:before="72" w:beforeLines="30" w:after="72" w:afterLines="30" w:line="400" w:lineRule="atLeast"/>
        <w:rPr>
          <w:rFonts w:ascii="Times New Roman" w:hAnsi="Times New Roman"/>
          <w:sz w:val="24"/>
        </w:rPr>
      </w:pPr>
      <w:r>
        <w:rPr>
          <w:rFonts w:hint="eastAsia" w:ascii="Times New Roman" w:hAnsi="Times New Roman"/>
          <w:sz w:val="24"/>
        </w:rPr>
        <w:t>乙方：</w:t>
      </w:r>
    </w:p>
    <w:p>
      <w:pPr>
        <w:spacing w:before="120" w:beforeLines="50" w:after="72" w:afterLines="30" w:line="400" w:lineRule="atLeast"/>
        <w:ind w:firstLine="480" w:firstLineChars="200"/>
        <w:rPr>
          <w:rFonts w:ascii="Times New Roman" w:hAnsi="Times New Roman"/>
          <w:sz w:val="24"/>
        </w:rPr>
      </w:pPr>
      <w:r>
        <w:rPr>
          <w:rFonts w:hint="eastAsia" w:ascii="Times New Roman" w:hAnsi="Times New Roman"/>
          <w:sz w:val="24"/>
        </w:rPr>
        <w:t>兹由甲方委托乙方对</w:t>
      </w:r>
      <w:r>
        <w:rPr>
          <w:rFonts w:ascii="Times New Roman" w:hAnsi="Times New Roman"/>
          <w:sz w:val="24"/>
        </w:rPr>
        <w:t xml:space="preserve">   </w:t>
      </w:r>
      <w:r>
        <w:rPr>
          <w:rFonts w:hint="eastAsia" w:ascii="Times New Roman" w:hAnsi="Times New Roman"/>
          <w:sz w:val="24"/>
        </w:rPr>
        <w:t>进行审计，经双方协商，达成以下约定：</w:t>
      </w:r>
    </w:p>
    <w:p>
      <w:pPr>
        <w:spacing w:before="72" w:beforeLines="30" w:after="72" w:afterLines="30" w:line="400" w:lineRule="atLeast"/>
        <w:ind w:left="479" w:leftChars="228"/>
        <w:rPr>
          <w:rFonts w:ascii="Times New Roman" w:hAnsi="Times New Roman" w:eastAsia="黑体"/>
          <w:b/>
          <w:sz w:val="24"/>
        </w:rPr>
      </w:pPr>
      <w:r>
        <w:rPr>
          <w:rFonts w:hint="eastAsia" w:ascii="Times New Roman" w:hAnsi="Times New Roman" w:eastAsia="黑体"/>
          <w:b/>
          <w:sz w:val="24"/>
        </w:rPr>
        <w:t>一、审计的目标和范围</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1．乙方接受甲方委托，对甲方按照企业会计准则编制的财务报表进行审计，出具审计报告。</w:t>
      </w:r>
    </w:p>
    <w:p>
      <w:pPr>
        <w:spacing w:before="72" w:beforeLines="30" w:after="72" w:afterLines="30" w:line="400" w:lineRule="atLeast"/>
        <w:ind w:firstLine="480"/>
        <w:rPr>
          <w:rFonts w:ascii="Times New Roman" w:hAnsi="Times New Roman"/>
          <w:sz w:val="24"/>
        </w:rPr>
      </w:pPr>
      <w:r>
        <w:rPr>
          <w:rFonts w:ascii="Times New Roman" w:hAnsi="Times New Roman"/>
          <w:sz w:val="24"/>
        </w:rPr>
        <w:t>2</w:t>
      </w:r>
      <w:r>
        <w:rPr>
          <w:rFonts w:hint="eastAsia" w:ascii="Times New Roman" w:hAnsi="Times New Roman"/>
          <w:sz w:val="24"/>
        </w:rPr>
        <w:t>．乙方审计工作的目标是对财务报表整体是否不存在由于舞弊或错误导致的重大错报获取合理保证，并出具包含审计意见的审计报告。合理保证是高水平的保证，但并不能保证按照审计准则执行的审计在某一重大错报存在时总能发现。错报可能由于舞弊或错误导致，如果合理预期错报单独或汇总起来可能影响财务报表使用者依据财务报表作出的经济决策，则通常认为错报是重大的。</w:t>
      </w:r>
    </w:p>
    <w:p>
      <w:pPr>
        <w:spacing w:before="72" w:beforeLines="30" w:after="72" w:afterLines="30" w:line="400" w:lineRule="atLeast"/>
        <w:ind w:firstLine="480"/>
        <w:rPr>
          <w:rFonts w:ascii="Times New Roman" w:hAnsi="Times New Roman"/>
          <w:sz w:val="24"/>
        </w:rPr>
      </w:pPr>
      <w:r>
        <w:rPr>
          <w:rFonts w:ascii="Times New Roman" w:hAnsi="Times New Roman"/>
          <w:sz w:val="24"/>
        </w:rPr>
        <w:t>3</w:t>
      </w:r>
      <w:r>
        <w:rPr>
          <w:rFonts w:hint="eastAsia" w:ascii="Times New Roman" w:hAnsi="Times New Roman"/>
          <w:sz w:val="24"/>
        </w:rPr>
        <w:t>．乙方通过执行审计工作，对财务报表的下列方面发表审计意见：（1）财务报表是否在所有重大方面按照企业会计准则的规定编制；（2）财务报表是否在所有重大方面公允反映了甲财务状况。</w:t>
      </w:r>
    </w:p>
    <w:p>
      <w:pPr>
        <w:spacing w:before="72" w:beforeLines="30" w:after="72" w:afterLines="30" w:line="400" w:lineRule="atLeast"/>
        <w:ind w:firstLine="482" w:firstLineChars="200"/>
        <w:rPr>
          <w:rFonts w:ascii="Times New Roman" w:hAnsi="Times New Roman" w:eastAsia="黑体"/>
          <w:b/>
          <w:sz w:val="24"/>
        </w:rPr>
      </w:pPr>
      <w:r>
        <w:rPr>
          <w:rFonts w:hint="eastAsia" w:ascii="Times New Roman" w:hAnsi="Times New Roman" w:eastAsia="黑体"/>
          <w:b/>
          <w:sz w:val="24"/>
        </w:rPr>
        <w:t>二、甲方的责任</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1．根据《中华人民共和国会计法》及《企业财务会计报告条例》，甲方及甲方负责人有责任保证会计资料的真实性和完整性。因此，甲方管理层有责任妥善保存和提供会计记录（包括但不限于会计凭证、会计账簿及其他会计资料），这些记录必须真实、完整地反映甲方的财务状况、经营成果和现金流量。</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sz w:val="24"/>
        </w:rPr>
        <w:t>2．按照企业会计准则的规定编制和公允列报财务报表是甲方管理层的责任，这种责任包括：（1）按照企业会计准则的规定编制财务报表，并使其实现公允反映；（2）设计、执行和维护必要的内部控制，以使财务报表不存在由于舞</w:t>
      </w:r>
      <w:r>
        <w:rPr>
          <w:rFonts w:hint="eastAsia" w:ascii="Times New Roman" w:hAnsi="Times New Roman"/>
          <w:color w:val="000000"/>
          <w:sz w:val="24"/>
        </w:rPr>
        <w:t>弊或错误导致的重大错报。（3）将已知的甲方所有内部控制缺陷告知乙方。</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3．在编制财务报表时，甲方管理层负责评估甲方的持续经营能力，</w:t>
      </w:r>
      <w:r>
        <w:rPr>
          <w:rFonts w:ascii="Times New Roman" w:hAnsi="Times New Roman"/>
          <w:color w:val="000000"/>
          <w:sz w:val="24"/>
        </w:rPr>
        <w:t>必须时披露与持续经营相关的事项，并运用持续经营假设，除非</w:t>
      </w:r>
      <w:r>
        <w:rPr>
          <w:rFonts w:hint="eastAsia" w:ascii="Times New Roman" w:hAnsi="Times New Roman"/>
          <w:color w:val="000000"/>
          <w:sz w:val="24"/>
        </w:rPr>
        <w:t>管理层计划清算、</w:t>
      </w:r>
      <w:r>
        <w:rPr>
          <w:rFonts w:ascii="Times New Roman" w:hAnsi="Times New Roman"/>
          <w:color w:val="000000"/>
          <w:sz w:val="24"/>
        </w:rPr>
        <w:t>终止运营或别无其他现实的选择。甲方治理层负责</w:t>
      </w:r>
      <w:r>
        <w:rPr>
          <w:rFonts w:hint="eastAsia" w:ascii="Times New Roman" w:hAnsi="Times New Roman"/>
          <w:color w:val="000000"/>
          <w:sz w:val="24"/>
        </w:rPr>
        <w:t>监督甲方的财务报告过程。</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4．及时为乙方的审计工作提供与审计有关的所有记录、文件和所需的其他信息，并保证所提供资料的真实性和完整性。</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5．确保乙方不受限制地接触其认为必要的甲方内部人员和其他相关人员。</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6．为满足乙方对甲方合并财务报表发表审计意见的需要，甲方须确保：</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乙方和对组成部分财务信息执行相关工作的组成部分注册会计师之间的沟通不受任何限制。（组成部分是指甲方的子公司、分部、分公司、合营企业、联营企业、受托管理的公司等关联企业等企业。）</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乙方及时获悉组成部分注册会计师与组成部分治理层和管理层之间的重要沟通（包括就值得关注的内部控制缺陷进行的沟通）。</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乙方及时获悉组成部分治理层和管理层与监管机构就与财务信息有关的事项进行的重要沟通。</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在乙方认为必要时，允许乙方接触组成部分的信息、组成部分管理层或组成部分注册会计师（包括组成部分注册会计师的工作底稿），并允许乙方对组成部分的财务信息执行相关工作。</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7．甲方管理层对其作出的与审计有关的声明予以书面确认。</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8．为乙方派出的有关工作人员提供必要的工作条件和协助，乙方将于外勤工作开始前提供主要事项清单。</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9．按照本约定书的约定及时足额支付审计费用。</w:t>
      </w:r>
    </w:p>
    <w:p>
      <w:pPr>
        <w:spacing w:before="72" w:beforeLines="30" w:after="72" w:afterLines="30" w:line="400" w:lineRule="atLeast"/>
        <w:ind w:firstLine="480"/>
        <w:rPr>
          <w:rFonts w:ascii="Times New Roman" w:hAnsi="Times New Roman"/>
          <w:color w:val="000000"/>
          <w:sz w:val="24"/>
          <w:highlight w:val="yellow"/>
        </w:rPr>
      </w:pPr>
      <w:r>
        <w:rPr>
          <w:rFonts w:hint="eastAsia" w:ascii="Times New Roman" w:hAnsi="Times New Roman"/>
          <w:color w:val="000000"/>
          <w:sz w:val="24"/>
        </w:rPr>
        <w:t>10．乙方的审计不能减轻甲方及甲方管理层的责任。如果由于甲方、以及甲方董事、员工或代理人的舞弊行为、不实陈述或故意违约而导致的任何损失、损害、费用或支出，与乙方无关，乙方将不承担由此引发的民事赔偿责任。如果甲方或其子公司（如有）提供虚假、不真实或不完整的会计资料或其他资料，或不当使用乙方出具的审计报告，甲方须依照中国相关法律法规的规定赔偿乙方就此蒙受的损失。</w:t>
      </w:r>
    </w:p>
    <w:p>
      <w:pPr>
        <w:spacing w:before="72" w:beforeLines="30" w:after="72" w:afterLines="30" w:line="400" w:lineRule="atLeast"/>
        <w:ind w:firstLine="482" w:firstLineChars="200"/>
        <w:outlineLvl w:val="0"/>
        <w:rPr>
          <w:rFonts w:ascii="Times New Roman" w:hAnsi="Times New Roman" w:eastAsia="黑体"/>
          <w:b/>
          <w:color w:val="000000"/>
          <w:sz w:val="24"/>
        </w:rPr>
      </w:pPr>
      <w:r>
        <w:rPr>
          <w:rFonts w:hint="eastAsia" w:ascii="Times New Roman" w:hAnsi="Times New Roman" w:eastAsia="黑体"/>
          <w:b/>
          <w:color w:val="000000"/>
          <w:sz w:val="24"/>
        </w:rPr>
        <w:t>三、乙方的责任：</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1．</w:t>
      </w:r>
      <w:r>
        <w:rPr>
          <w:rFonts w:ascii="Times New Roman" w:hAnsi="Times New Roman"/>
          <w:color w:val="000000"/>
          <w:sz w:val="24"/>
        </w:rPr>
        <w:t>乙方按照中国注册会计师审计准则（以下简称审计准则）的</w:t>
      </w:r>
      <w:r>
        <w:rPr>
          <w:rFonts w:hint="eastAsia" w:ascii="Times New Roman" w:hAnsi="Times New Roman"/>
          <w:color w:val="000000"/>
          <w:sz w:val="24"/>
        </w:rPr>
        <w:t>规定执行审计工作。审计准则要求注册会计师遵守中国注册会计师职业道德守则。</w:t>
      </w:r>
      <w:r>
        <w:rPr>
          <w:rFonts w:ascii="Times New Roman" w:hAnsi="Times New Roman"/>
          <w:color w:val="000000"/>
          <w:sz w:val="24"/>
        </w:rPr>
        <w:t>在执行审计的过程中，乙方需要运用职业判断，保持职</w:t>
      </w:r>
      <w:r>
        <w:rPr>
          <w:rFonts w:hint="eastAsia" w:ascii="Times New Roman" w:hAnsi="Times New Roman"/>
          <w:color w:val="000000"/>
          <w:sz w:val="24"/>
        </w:rPr>
        <w:t xml:space="preserve">业怀疑。 </w:t>
      </w:r>
    </w:p>
    <w:p>
      <w:pPr>
        <w:spacing w:before="72" w:beforeLines="30" w:after="72" w:afterLines="30" w:line="400" w:lineRule="atLeast"/>
        <w:ind w:firstLine="480"/>
        <w:rPr>
          <w:rFonts w:ascii="Times New Roman" w:hAnsi="Times New Roman"/>
          <w:sz w:val="24"/>
        </w:rPr>
      </w:pPr>
      <w:r>
        <w:rPr>
          <w:rFonts w:hint="eastAsia" w:ascii="Times New Roman" w:hAnsi="Times New Roman"/>
          <w:color w:val="000000"/>
          <w:sz w:val="24"/>
        </w:rPr>
        <w:t>2．</w:t>
      </w:r>
      <w:r>
        <w:rPr>
          <w:rFonts w:ascii="Times New Roman" w:hAnsi="Times New Roman"/>
          <w:color w:val="000000"/>
          <w:sz w:val="24"/>
        </w:rPr>
        <w:t>乙方识别和评估由于舞弊或错误导致的财务报表重大错报风</w:t>
      </w:r>
      <w:r>
        <w:rPr>
          <w:rFonts w:hint="eastAsia" w:ascii="Times New Roman" w:hAnsi="Times New Roman"/>
          <w:color w:val="000000"/>
          <w:sz w:val="24"/>
        </w:rPr>
        <w:t>险，</w:t>
      </w:r>
      <w:r>
        <w:rPr>
          <w:rFonts w:ascii="Times New Roman" w:hAnsi="Times New Roman"/>
          <w:color w:val="000000"/>
          <w:sz w:val="24"/>
        </w:rPr>
        <w:t>设计和实施审计程序以应对这些风险，并获取充分、适当的审计</w:t>
      </w:r>
      <w:r>
        <w:rPr>
          <w:rFonts w:hint="eastAsia" w:ascii="Times New Roman" w:hAnsi="Times New Roman"/>
          <w:color w:val="000000"/>
          <w:sz w:val="24"/>
        </w:rPr>
        <w:t>证据，作为发表审计意见的基础。由于舞弊可能涉及串通、伪造、故意遗漏、虚假陈述或凌驾于内部控制之上，未能发现由于舞弊导致的重大错报的风险高于未能发现由于错误导致的重大错报</w:t>
      </w:r>
      <w:r>
        <w:rPr>
          <w:rFonts w:hint="eastAsia" w:ascii="Times New Roman" w:hAnsi="Times New Roman"/>
          <w:sz w:val="24"/>
        </w:rPr>
        <w:t>的风险。</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3．</w:t>
      </w:r>
      <w:r>
        <w:rPr>
          <w:rFonts w:ascii="Times New Roman" w:hAnsi="Times New Roman"/>
          <w:sz w:val="24"/>
        </w:rPr>
        <w:t>乙方了解与审计相关的内部控制，以设计恰当的审计程序，</w:t>
      </w:r>
      <w:r>
        <w:rPr>
          <w:rFonts w:hint="eastAsia" w:ascii="Times New Roman" w:hAnsi="Times New Roman"/>
          <w:sz w:val="24"/>
        </w:rPr>
        <w:t>但目的并非对内部控制的有效性发表意见</w:t>
      </w:r>
      <w:r>
        <w:rPr>
          <w:rFonts w:hint="eastAsia" w:ascii="宋体" w:hAnsi="宋体"/>
          <w:i/>
          <w:sz w:val="24"/>
        </w:rPr>
        <w:t>。</w:t>
      </w:r>
    </w:p>
    <w:p>
      <w:pPr>
        <w:spacing w:before="72" w:beforeLines="30" w:after="72" w:afterLines="30" w:line="400" w:lineRule="atLeast"/>
        <w:ind w:firstLine="480"/>
        <w:rPr>
          <w:rFonts w:ascii="Times New Roman" w:hAnsi="Times New Roman"/>
          <w:sz w:val="24"/>
        </w:rPr>
      </w:pPr>
      <w:r>
        <w:rPr>
          <w:rFonts w:ascii="Times New Roman" w:hAnsi="Times New Roman"/>
          <w:sz w:val="24"/>
        </w:rPr>
        <w:t>4</w:t>
      </w:r>
      <w:r>
        <w:rPr>
          <w:rFonts w:hint="eastAsia" w:ascii="Times New Roman" w:hAnsi="Times New Roman"/>
          <w:sz w:val="24"/>
        </w:rPr>
        <w:t>．</w:t>
      </w:r>
      <w:r>
        <w:rPr>
          <w:rFonts w:ascii="Times New Roman" w:hAnsi="Times New Roman"/>
          <w:sz w:val="24"/>
        </w:rPr>
        <w:t>乙方评价管理层选用会计政策的恰当性和作出会计估计及相</w:t>
      </w:r>
      <w:r>
        <w:rPr>
          <w:rFonts w:hint="eastAsia" w:ascii="Times New Roman" w:hAnsi="Times New Roman"/>
          <w:sz w:val="24"/>
        </w:rPr>
        <w:t>关披露的合理性。</w:t>
      </w:r>
    </w:p>
    <w:p>
      <w:pPr>
        <w:spacing w:before="72" w:beforeLines="30" w:after="72" w:afterLines="30" w:line="400" w:lineRule="atLeast"/>
        <w:ind w:firstLine="480"/>
        <w:rPr>
          <w:rFonts w:ascii="Times New Roman" w:hAnsi="Times New Roman"/>
          <w:sz w:val="24"/>
        </w:rPr>
      </w:pPr>
      <w:r>
        <w:rPr>
          <w:rFonts w:ascii="Times New Roman" w:hAnsi="Times New Roman"/>
          <w:sz w:val="24"/>
        </w:rPr>
        <w:t>5</w:t>
      </w:r>
      <w:r>
        <w:rPr>
          <w:rFonts w:hint="eastAsia" w:ascii="Times New Roman" w:hAnsi="Times New Roman"/>
          <w:sz w:val="24"/>
        </w:rPr>
        <w:t>．</w:t>
      </w:r>
      <w:r>
        <w:rPr>
          <w:rFonts w:ascii="Times New Roman" w:hAnsi="Times New Roman"/>
          <w:sz w:val="24"/>
        </w:rPr>
        <w:t>乙方对甲方管理层使用持续经营假设的恰当性得出结论。同</w:t>
      </w:r>
      <w:r>
        <w:rPr>
          <w:rFonts w:hint="eastAsia" w:ascii="Times New Roman" w:hAnsi="Times New Roman"/>
          <w:sz w:val="24"/>
        </w:rPr>
        <w:t>时，根据获取的审计证据，就可能导致对甲方持续经营能力产生重大疑虑的事项或情况是否存在重大不确定性得出结论。如果乙方得出结论认为存在重大不确定性，应当在审计报告中提请报表使用者注意财务报表中的相关披露；如果披露不充分，乙方应当发表非无保留意见。乙方的结论基于截至审计报告日可获得的信息。然而，未来的事项或情况可能导致甲方不能持续经营。</w:t>
      </w:r>
    </w:p>
    <w:p>
      <w:pPr>
        <w:spacing w:before="72" w:beforeLines="30" w:after="72" w:afterLines="30" w:line="400" w:lineRule="atLeast"/>
        <w:ind w:firstLine="480"/>
        <w:rPr>
          <w:rFonts w:ascii="Times New Roman" w:hAnsi="Times New Roman"/>
          <w:sz w:val="24"/>
        </w:rPr>
      </w:pPr>
      <w:r>
        <w:rPr>
          <w:rFonts w:ascii="Times New Roman" w:hAnsi="Times New Roman"/>
          <w:sz w:val="24"/>
        </w:rPr>
        <w:t>6</w:t>
      </w:r>
      <w:r>
        <w:rPr>
          <w:rFonts w:hint="eastAsia" w:ascii="Times New Roman" w:hAnsi="Times New Roman"/>
          <w:sz w:val="24"/>
        </w:rPr>
        <w:t>．</w:t>
      </w:r>
      <w:r>
        <w:rPr>
          <w:rFonts w:ascii="Times New Roman" w:hAnsi="Times New Roman"/>
          <w:sz w:val="24"/>
        </w:rPr>
        <w:t>乙方评价财务报表的总体列报、结构和内容，并</w:t>
      </w:r>
      <w:r>
        <w:rPr>
          <w:rFonts w:hint="eastAsia" w:ascii="Times New Roman" w:hAnsi="Times New Roman"/>
          <w:sz w:val="24"/>
        </w:rPr>
        <w:t>评价财务报表是否公允反映相关交易和事项。</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7．对不由乙方执行相关工作的组成部分财务信息，乙方不单独出具报告；有关的责任由对该组成部分执行相关工作的组成部分注册会计师及其所在的会计师事务所承担。</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8．在审计过程中，乙方若发现甲方存在乙方认为值得关注的内部控制缺陷，应以书面形式向甲方治理层或管理层通报。但乙方通报的各种事项，并不代表已全面说明所有可能存在的缺陷或已提出所有可行的改进建议。甲方在实施乙方提出的改进建议前应全面评估其影响。未经乙方书面许可，甲方不得向任何第三方提供乙方出具的沟通文件，除非法律法规另有要求。</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9．由于审计和内部控制的固有限制，即使按照审计准则的规定适当地计划和执行审计工作，仍无法避免财务报表的某些重大错报可能未被乙方发现的风险。</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10．按照约定时间完成审计工作，出具审计报告。乙方应于   年</w:t>
      </w:r>
      <w:r>
        <w:rPr>
          <w:rFonts w:ascii="Times New Roman" w:hAnsi="Times New Roman"/>
          <w:sz w:val="24"/>
        </w:rPr>
        <w:t xml:space="preserve">   </w:t>
      </w:r>
      <w:r>
        <w:rPr>
          <w:rFonts w:hint="eastAsia" w:ascii="Times New Roman" w:hAnsi="Times New Roman"/>
          <w:sz w:val="24"/>
        </w:rPr>
        <w:t>月</w:t>
      </w:r>
      <w:r>
        <w:rPr>
          <w:rFonts w:ascii="Times New Roman" w:hAnsi="Times New Roman"/>
          <w:sz w:val="24"/>
        </w:rPr>
        <w:t xml:space="preserve">  </w:t>
      </w:r>
      <w:r>
        <w:rPr>
          <w:rFonts w:hint="eastAsia" w:ascii="Times New Roman" w:hAnsi="Times New Roman"/>
          <w:sz w:val="24"/>
        </w:rPr>
        <w:t>日前出具审计报告。</w:t>
      </w:r>
    </w:p>
    <w:p>
      <w:pPr>
        <w:spacing w:before="72" w:beforeLines="30" w:after="72" w:afterLines="30" w:line="400" w:lineRule="atLeast"/>
        <w:ind w:firstLine="480"/>
        <w:rPr>
          <w:rFonts w:ascii="Times New Roman" w:hAnsi="Times New Roman"/>
          <w:sz w:val="24"/>
        </w:rPr>
      </w:pPr>
      <w:r>
        <w:rPr>
          <w:rFonts w:hint="eastAsia" w:ascii="Times New Roman" w:hAnsi="Times New Roman"/>
          <w:sz w:val="24"/>
        </w:rPr>
        <w:t>11．除下列情况外，乙方应当对执行业务过程中知悉的甲方信息予以保密：（1）法律法规允许披露，并取得甲方的授权；（2）根据法律法规的要求，为法律诉讼、仲裁准备文件或提供证据，以及向监管机构报告发现的违法行为；（3）在法律法规允许的情况下，在法律诉讼、仲裁中维护自已的合法权益；（4）接受注册会计师协会或监管机构的执业质量检查，答复其询问和调查；（5）向注册会计师协会或监管机构进行报备；（6）法律法规、执业准则和职业道德规范规定的其他情形。</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sz w:val="24"/>
        </w:rPr>
        <w:t>12．</w:t>
      </w:r>
      <w:r>
        <w:rPr>
          <w:rFonts w:ascii="Times New Roman" w:hAnsi="Times New Roman"/>
          <w:sz w:val="24"/>
        </w:rPr>
        <w:t>审计报告签发日之后，</w:t>
      </w:r>
      <w:r>
        <w:rPr>
          <w:rFonts w:hint="eastAsia" w:ascii="Times New Roman" w:hAnsi="Times New Roman"/>
          <w:sz w:val="24"/>
        </w:rPr>
        <w:t>乙方无</w:t>
      </w:r>
      <w:r>
        <w:rPr>
          <w:rFonts w:ascii="Times New Roman" w:hAnsi="Times New Roman"/>
          <w:sz w:val="24"/>
        </w:rPr>
        <w:t>直接责任去考虑或查明可能影响该期间的会计报表的期后事项。但是，</w:t>
      </w:r>
      <w:r>
        <w:rPr>
          <w:rFonts w:hint="eastAsia" w:ascii="Times New Roman" w:hAnsi="Times New Roman"/>
          <w:sz w:val="24"/>
        </w:rPr>
        <w:t>甲方应</w:t>
      </w:r>
      <w:r>
        <w:rPr>
          <w:rFonts w:ascii="Times New Roman" w:hAnsi="Times New Roman"/>
          <w:sz w:val="24"/>
        </w:rPr>
        <w:t>将在审计报告签发日之后可能影响会计报表的任何重大事项的发生或任何重大事实的发现通</w:t>
      </w:r>
      <w:r>
        <w:rPr>
          <w:rFonts w:ascii="Times New Roman" w:hAnsi="Times New Roman"/>
          <w:color w:val="000000"/>
          <w:sz w:val="24"/>
        </w:rPr>
        <w:t>知</w:t>
      </w:r>
      <w:r>
        <w:rPr>
          <w:rFonts w:hint="eastAsia" w:ascii="Times New Roman" w:hAnsi="Times New Roman"/>
          <w:color w:val="000000"/>
          <w:sz w:val="24"/>
        </w:rPr>
        <w:t>乙方。</w:t>
      </w:r>
    </w:p>
    <w:p>
      <w:pPr>
        <w:adjustRightInd w:val="0"/>
        <w:snapToGrid w:val="0"/>
        <w:spacing w:before="120" w:beforeLines="50" w:line="288" w:lineRule="auto"/>
        <w:ind w:left="448"/>
        <w:rPr>
          <w:rFonts w:ascii="宋体" w:hAnsi="宋体"/>
          <w:b/>
          <w:i/>
          <w:color w:val="000000"/>
          <w:szCs w:val="24"/>
        </w:rPr>
      </w:pPr>
      <w:r>
        <w:rPr>
          <w:rFonts w:hint="eastAsia" w:ascii="Times New Roman" w:hAnsi="Times New Roman" w:eastAsia="黑体"/>
          <w:b/>
          <w:color w:val="000000"/>
          <w:sz w:val="24"/>
        </w:rPr>
        <w:t>四、使用其他专家的工作成果</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如乙方根据中国注册会计师审计准则认为有需要为审计工作聘请其他专家完成某项专业工作，甲方必须承担聘请其他专家的费用，并向这些专家及乙方提供必要的协助及安排，乙方有权根据自己的判断决定是否使用这些专家的工作成果。在聘请其他专家之前，乙方将与甲方沟通是否有此必要及其他有关信息，并取得甲方的同意。</w:t>
      </w:r>
    </w:p>
    <w:p>
      <w:pPr>
        <w:spacing w:before="72" w:beforeLines="30" w:after="72" w:afterLines="30" w:line="400" w:lineRule="atLeast"/>
        <w:ind w:firstLine="480"/>
        <w:outlineLvl w:val="0"/>
        <w:rPr>
          <w:rFonts w:ascii="Times New Roman" w:hAnsi="Times New Roman" w:eastAsia="黑体"/>
          <w:b/>
          <w:color w:val="000000"/>
          <w:sz w:val="24"/>
        </w:rPr>
      </w:pPr>
      <w:r>
        <w:rPr>
          <w:rFonts w:hint="eastAsia" w:ascii="Times New Roman" w:hAnsi="Times New Roman" w:eastAsia="黑体"/>
          <w:b/>
          <w:color w:val="000000"/>
          <w:sz w:val="24"/>
        </w:rPr>
        <w:t>五、审计收费</w:t>
      </w:r>
    </w:p>
    <w:p>
      <w:pPr>
        <w:spacing w:before="72" w:beforeLines="30" w:after="72" w:afterLines="30" w:line="400" w:lineRule="atLeast"/>
        <w:ind w:right="26" w:firstLine="480"/>
        <w:rPr>
          <w:rFonts w:ascii="Times New Roman" w:hAnsi="Times New Roman"/>
          <w:color w:val="000000"/>
          <w:sz w:val="24"/>
        </w:rPr>
      </w:pPr>
      <w:r>
        <w:rPr>
          <w:rFonts w:hint="eastAsia" w:ascii="Times New Roman" w:hAnsi="Times New Roman"/>
          <w:sz w:val="24"/>
        </w:rPr>
        <w:t>1．本次审计服务的收费是以乙方各级别工作人员在本次工作中所耗费的时间为基础计算的。乙方预计本次审计服务的费用总额为人民币</w:t>
      </w:r>
      <w:r>
        <w:rPr>
          <w:rFonts w:hint="eastAsia" w:ascii="Times New Roman" w:hAnsi="Times New Roman"/>
          <w:sz w:val="24"/>
          <w:u w:val="single"/>
        </w:rPr>
        <w:t xml:space="preserve">   </w:t>
      </w:r>
      <w:r>
        <w:rPr>
          <w:rFonts w:ascii="Times New Roman" w:hAnsi="Times New Roman"/>
          <w:sz w:val="24"/>
          <w:u w:val="single"/>
        </w:rPr>
        <w:t xml:space="preserve"> </w:t>
      </w:r>
      <w:r>
        <w:rPr>
          <w:rFonts w:hint="eastAsia" w:ascii="Times New Roman" w:hAnsi="Times New Roman"/>
          <w:sz w:val="24"/>
        </w:rPr>
        <w:t>万元，</w:t>
      </w:r>
      <w:r>
        <w:rPr>
          <w:rFonts w:hint="eastAsia" w:ascii="Times New Roman" w:hAnsi="Times New Roman"/>
          <w:color w:val="000000"/>
          <w:sz w:val="24"/>
          <w:u w:val="single"/>
        </w:rPr>
        <w:t xml:space="preserve">大写人民币       </w:t>
      </w:r>
      <w:r>
        <w:rPr>
          <w:rFonts w:hint="eastAsia" w:ascii="Times New Roman" w:hAnsi="Times New Roman"/>
          <w:color w:val="000000"/>
          <w:sz w:val="24"/>
        </w:rPr>
        <w:t>。（乙方开具增值税专用发票）</w:t>
      </w:r>
    </w:p>
    <w:p>
      <w:pPr>
        <w:spacing w:before="72" w:beforeLines="30" w:after="72" w:afterLines="30" w:line="400" w:lineRule="atLeast"/>
        <w:ind w:right="26" w:firstLine="480"/>
        <w:rPr>
          <w:rFonts w:ascii="Times New Roman" w:hAnsi="Times New Roman"/>
          <w:sz w:val="24"/>
        </w:rPr>
      </w:pPr>
      <w:r>
        <w:rPr>
          <w:rFonts w:hint="eastAsia" w:ascii="Times New Roman" w:hAnsi="Times New Roman"/>
          <w:sz w:val="24"/>
        </w:rPr>
        <w:t>2．出具黄山市屯溪区昱城产业投资控股有限公司两年连审合并审计报告（2022年-2023年）及对2024年9月30日报表及附注进行复核初稿后支付合同价的30%，经与采购人确认后出具正式审计报告支付合同剩余70%款项。</w:t>
      </w:r>
    </w:p>
    <w:p>
      <w:pPr>
        <w:spacing w:before="72" w:beforeLines="30" w:after="72" w:afterLines="30" w:line="400" w:lineRule="atLeast"/>
        <w:ind w:right="26" w:firstLine="480"/>
        <w:rPr>
          <w:rFonts w:ascii="Times New Roman" w:hAnsi="Times New Roman"/>
          <w:sz w:val="24"/>
        </w:rPr>
      </w:pPr>
      <w:r>
        <w:rPr>
          <w:rFonts w:hint="eastAsia" w:ascii="Times New Roman" w:hAnsi="Times New Roman"/>
          <w:sz w:val="24"/>
        </w:rPr>
        <w:t>3．如果由于无法预见的原因，致使乙方从事本约定书所涉及的审计服务实际时间较本约定书签订时预计的时间有明显的增加或减少时，甲乙双方应通过协商，相应调整本部分第1段所述的审计费用。</w:t>
      </w:r>
    </w:p>
    <w:p>
      <w:pPr>
        <w:spacing w:before="120" w:beforeLines="50" w:after="120" w:afterLines="50" w:line="360" w:lineRule="auto"/>
        <w:ind w:firstLine="424" w:firstLineChars="177"/>
        <w:rPr>
          <w:rFonts w:ascii="Times New Roman" w:hAnsi="Times New Roman"/>
          <w:sz w:val="24"/>
        </w:rPr>
      </w:pPr>
      <w:r>
        <w:rPr>
          <w:rFonts w:hint="eastAsia" w:ascii="Times New Roman" w:hAnsi="Times New Roman"/>
          <w:sz w:val="24"/>
        </w:rPr>
        <w:t>4．如果由于无法预见的原因</w:t>
      </w:r>
      <w:r>
        <w:rPr>
          <w:rFonts w:hint="eastAsia" w:ascii="宋体" w:hAnsi="宋体"/>
          <w:color w:val="000000"/>
          <w:sz w:val="24"/>
        </w:rPr>
        <w:t>，致使乙方人员抵达甲方工作现场后，本约定书所涉及的审计服务中止，乙方扣除先期成本后退还剩余的预付审计费用。</w:t>
      </w:r>
    </w:p>
    <w:p>
      <w:pPr>
        <w:spacing w:before="72" w:beforeLines="30" w:after="72" w:afterLines="30" w:line="400" w:lineRule="atLeast"/>
        <w:ind w:right="26" w:firstLine="480"/>
        <w:rPr>
          <w:rFonts w:ascii="Times New Roman" w:hAnsi="Times New Roman"/>
          <w:sz w:val="24"/>
        </w:rPr>
      </w:pPr>
      <w:r>
        <w:rPr>
          <w:rFonts w:hint="eastAsia" w:ascii="Times New Roman" w:hAnsi="Times New Roman"/>
          <w:sz w:val="24"/>
        </w:rPr>
        <w:t>5．与本次审计有关的其他费用（包括交通费、住宿费等）由乙方承担。</w:t>
      </w:r>
    </w:p>
    <w:p>
      <w:pPr>
        <w:spacing w:before="72" w:beforeLines="30" w:after="72" w:afterLines="30" w:line="400" w:lineRule="atLeast"/>
        <w:ind w:right="26" w:firstLine="480"/>
        <w:rPr>
          <w:rFonts w:ascii="Times New Roman" w:hAnsi="Times New Roman"/>
          <w:sz w:val="24"/>
        </w:rPr>
      </w:pPr>
      <w:r>
        <w:rPr>
          <w:rFonts w:hint="eastAsia" w:ascii="Times New Roman" w:hAnsi="Times New Roman"/>
          <w:sz w:val="24"/>
        </w:rPr>
        <w:t>6、汇款信息：</w:t>
      </w:r>
    </w:p>
    <w:p>
      <w:pPr>
        <w:spacing w:before="72" w:beforeLines="30" w:after="72" w:afterLines="30" w:line="400" w:lineRule="atLeast"/>
        <w:ind w:right="26" w:firstLine="480"/>
        <w:rPr>
          <w:rFonts w:ascii="Times New Roman" w:hAnsi="Times New Roman"/>
          <w:sz w:val="24"/>
        </w:rPr>
      </w:pPr>
      <w:r>
        <w:rPr>
          <w:rFonts w:hint="eastAsia" w:ascii="Times New Roman" w:hAnsi="Times New Roman"/>
          <w:sz w:val="24"/>
        </w:rPr>
        <w:t>账户名称：</w:t>
      </w:r>
    </w:p>
    <w:p>
      <w:pPr>
        <w:spacing w:before="72" w:beforeLines="30" w:after="72" w:afterLines="30" w:line="400" w:lineRule="atLeast"/>
        <w:ind w:right="26" w:firstLine="480"/>
        <w:rPr>
          <w:rFonts w:ascii="Times New Roman" w:hAnsi="Times New Roman"/>
          <w:sz w:val="24"/>
        </w:rPr>
      </w:pPr>
      <w:r>
        <w:rPr>
          <w:rFonts w:hint="eastAsia" w:ascii="Times New Roman" w:hAnsi="Times New Roman"/>
          <w:sz w:val="24"/>
        </w:rPr>
        <w:t>开户银行：</w:t>
      </w:r>
    </w:p>
    <w:p>
      <w:pPr>
        <w:spacing w:before="72" w:beforeLines="30" w:after="72" w:afterLines="30" w:line="400" w:lineRule="atLeast"/>
        <w:ind w:firstLine="482" w:firstLineChars="200"/>
        <w:outlineLvl w:val="0"/>
        <w:rPr>
          <w:rFonts w:ascii="Times New Roman" w:hAnsi="Times New Roman" w:eastAsia="黑体"/>
          <w:b/>
          <w:sz w:val="24"/>
        </w:rPr>
      </w:pPr>
      <w:r>
        <w:rPr>
          <w:rFonts w:hint="eastAsia" w:ascii="Times New Roman" w:hAnsi="Times New Roman" w:eastAsia="黑体"/>
          <w:b/>
          <w:sz w:val="24"/>
        </w:rPr>
        <w:t>六、审计报告和审计报告的使用</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sz w:val="24"/>
        </w:rPr>
        <w:t>1. 乙方按照中国注册会计师审计准则规定的格式和类型</w:t>
      </w:r>
      <w:r>
        <w:rPr>
          <w:rFonts w:hint="eastAsia" w:ascii="Times New Roman" w:hAnsi="Times New Roman"/>
          <w:color w:val="000000"/>
          <w:sz w:val="24"/>
        </w:rPr>
        <w:t>出具审计报告。审计报告的形式和内容可能需根据审计中的发现进行适当调整。甲方不应依赖乙方在审计过程中可能提供的初步意见、报告草稿或汇报。</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2. 乙方向甲方致送审计报告一式</w:t>
      </w:r>
      <w:r>
        <w:rPr>
          <w:rFonts w:hint="eastAsia" w:ascii="Times New Roman" w:hAnsi="Times New Roman"/>
          <w:color w:val="000000"/>
          <w:sz w:val="24"/>
          <w:u w:val="single"/>
        </w:rPr>
        <w:t xml:space="preserve"> 四 </w:t>
      </w:r>
      <w:r>
        <w:rPr>
          <w:rFonts w:hint="eastAsia" w:ascii="Times New Roman" w:hAnsi="Times New Roman"/>
          <w:color w:val="000000"/>
          <w:sz w:val="24"/>
        </w:rPr>
        <w:t>份。</w:t>
      </w:r>
    </w:p>
    <w:p>
      <w:pPr>
        <w:spacing w:before="72" w:beforeLines="30" w:after="72" w:afterLines="30" w:line="400" w:lineRule="atLeast"/>
        <w:ind w:firstLine="480"/>
        <w:rPr>
          <w:rFonts w:ascii="Times New Roman" w:hAnsi="Times New Roman"/>
          <w:color w:val="000000"/>
          <w:sz w:val="24"/>
        </w:rPr>
      </w:pPr>
      <w:r>
        <w:rPr>
          <w:rFonts w:hint="eastAsia" w:ascii="Times New Roman" w:hAnsi="Times New Roman"/>
          <w:color w:val="000000"/>
          <w:sz w:val="24"/>
        </w:rPr>
        <w:t>3. 甲方在提交或对外公布乙方出具的审计报告及其后附的已审计财务报表时，不得对其进行修改。当甲方认为有必要修改会计数据、报表附注和所作的说明时，应当事先通知乙方，乙方将考虑有关的修改对审计报告的影响，必要时，将重新出具审计报告。</w:t>
      </w:r>
    </w:p>
    <w:p>
      <w:pPr>
        <w:spacing w:before="72" w:beforeLines="30" w:after="72" w:afterLines="30" w:line="400" w:lineRule="atLeast"/>
        <w:ind w:firstLine="360" w:firstLineChars="150"/>
        <w:outlineLvl w:val="0"/>
        <w:rPr>
          <w:rFonts w:ascii="Times New Roman" w:hAnsi="Times New Roman" w:eastAsia="黑体"/>
          <w:b/>
          <w:color w:val="000000"/>
          <w:sz w:val="24"/>
        </w:rPr>
      </w:pPr>
      <w:r>
        <w:rPr>
          <w:rFonts w:hint="eastAsia" w:ascii="Times New Roman" w:hAnsi="Times New Roman"/>
          <w:color w:val="000000"/>
          <w:sz w:val="24"/>
        </w:rPr>
        <w:t xml:space="preserve"> </w:t>
      </w:r>
      <w:r>
        <w:rPr>
          <w:rFonts w:hint="eastAsia" w:ascii="Times New Roman" w:hAnsi="Times New Roman" w:eastAsia="黑体"/>
          <w:b/>
          <w:color w:val="000000"/>
          <w:sz w:val="24"/>
        </w:rPr>
        <w:t>七、本约定书的有效期间</w:t>
      </w:r>
    </w:p>
    <w:p>
      <w:pPr>
        <w:spacing w:before="72" w:beforeLines="30" w:after="72" w:afterLines="30" w:line="400" w:lineRule="atLeast"/>
        <w:ind w:firstLine="420"/>
        <w:rPr>
          <w:rFonts w:ascii="Times New Roman" w:hAnsi="Times New Roman"/>
          <w:color w:val="000000"/>
          <w:sz w:val="24"/>
        </w:rPr>
      </w:pPr>
      <w:r>
        <w:rPr>
          <w:rFonts w:hint="eastAsia" w:ascii="Times New Roman" w:hAnsi="Times New Roman"/>
          <w:color w:val="000000"/>
          <w:sz w:val="24"/>
        </w:rPr>
        <w:t>本约定书自签署之日起生效，并在双方履行完毕本约定书约定的所有义务后终止。但其中第三项第11段、第五、六、九、十、十一项并不因本约定书终止而失效。如乙方开始提供审计服务的时间早于甲乙双方授权代表签字并加盖印章之日，以开始提供审计服务的时间作为本约定书生效日期。</w:t>
      </w:r>
    </w:p>
    <w:p>
      <w:pPr>
        <w:spacing w:before="72" w:beforeLines="30" w:after="72" w:afterLines="30" w:line="400" w:lineRule="atLeast"/>
        <w:ind w:firstLine="482" w:firstLineChars="200"/>
        <w:outlineLvl w:val="0"/>
        <w:rPr>
          <w:rFonts w:ascii="Times New Roman" w:hAnsi="Times New Roman" w:eastAsia="黑体"/>
          <w:b/>
          <w:sz w:val="24"/>
        </w:rPr>
      </w:pPr>
      <w:r>
        <w:rPr>
          <w:rFonts w:hint="eastAsia" w:ascii="Times New Roman" w:hAnsi="Times New Roman" w:eastAsia="黑体"/>
          <w:b/>
          <w:sz w:val="24"/>
        </w:rPr>
        <w:t>八、约定事项的变更</w:t>
      </w:r>
    </w:p>
    <w:p>
      <w:pPr>
        <w:spacing w:before="72" w:beforeLines="30" w:after="72" w:afterLines="30" w:line="400" w:lineRule="atLeast"/>
        <w:ind w:firstLine="420"/>
        <w:rPr>
          <w:rFonts w:ascii="Times New Roman" w:hAnsi="Times New Roman"/>
          <w:sz w:val="24"/>
        </w:rPr>
      </w:pPr>
      <w:r>
        <w:rPr>
          <w:rFonts w:hint="eastAsia" w:ascii="Times New Roman" w:hAnsi="Times New Roman"/>
          <w:sz w:val="24"/>
        </w:rPr>
        <w:t>如果出现不可预见的情况，影响审计工作如期完成，或需提前出具审计报告，甲、乙双方均可要求变更约定事项，但应及时通知对方，并由双方协商解决。</w:t>
      </w:r>
    </w:p>
    <w:p>
      <w:pPr>
        <w:spacing w:before="72" w:beforeLines="30" w:after="72" w:afterLines="30" w:line="400" w:lineRule="atLeast"/>
        <w:ind w:firstLine="482" w:firstLineChars="200"/>
        <w:outlineLvl w:val="0"/>
        <w:rPr>
          <w:rFonts w:ascii="Times New Roman" w:hAnsi="Times New Roman" w:eastAsia="黑体"/>
          <w:b/>
          <w:sz w:val="24"/>
        </w:rPr>
      </w:pPr>
      <w:r>
        <w:rPr>
          <w:rFonts w:hint="eastAsia" w:ascii="Times New Roman" w:hAnsi="Times New Roman" w:eastAsia="黑体"/>
          <w:b/>
          <w:sz w:val="24"/>
        </w:rPr>
        <w:t>九、终止条款</w:t>
      </w:r>
    </w:p>
    <w:p>
      <w:pPr>
        <w:spacing w:before="72" w:beforeLines="30" w:after="72" w:afterLines="30" w:line="400" w:lineRule="atLeast"/>
        <w:ind w:firstLine="480" w:firstLineChars="200"/>
        <w:rPr>
          <w:rFonts w:ascii="宋体" w:hAnsi="宋体"/>
          <w:color w:val="000000"/>
          <w:sz w:val="24"/>
        </w:rPr>
      </w:pPr>
      <w:r>
        <w:rPr>
          <w:rFonts w:hint="eastAsia" w:ascii="Times New Roman" w:hAnsi="Times New Roman"/>
          <w:sz w:val="24"/>
        </w:rPr>
        <w:t>1. 如果根据乙方的职业道德及其他有关专业职责、适用的法律法规或其他任何法定的要求，乙方认为已不适宜继续为甲方提供本约定书约定的审计服务时，乙方可以采取向甲方提出</w:t>
      </w:r>
      <w:r>
        <w:rPr>
          <w:rFonts w:hint="eastAsia" w:ascii="Times New Roman" w:hAnsi="Times New Roman"/>
          <w:color w:val="000000"/>
          <w:sz w:val="24"/>
        </w:rPr>
        <w:t>合理书面通知的</w:t>
      </w:r>
      <w:r>
        <w:rPr>
          <w:rFonts w:hint="eastAsia" w:ascii="Times New Roman" w:hAnsi="Times New Roman"/>
          <w:sz w:val="24"/>
        </w:rPr>
        <w:t>方式终止履行本约定书。</w:t>
      </w:r>
    </w:p>
    <w:p>
      <w:pPr>
        <w:spacing w:before="120" w:beforeLines="50" w:after="120" w:afterLines="50" w:line="360" w:lineRule="auto"/>
        <w:ind w:firstLine="424" w:firstLineChars="177"/>
        <w:rPr>
          <w:rFonts w:ascii="宋体" w:hAnsi="宋体"/>
          <w:color w:val="000000"/>
          <w:sz w:val="24"/>
        </w:rPr>
      </w:pPr>
      <w:r>
        <w:rPr>
          <w:rFonts w:hint="eastAsia" w:ascii="宋体" w:hAnsi="宋体"/>
          <w:color w:val="000000"/>
          <w:sz w:val="24"/>
        </w:rPr>
        <w:t>2、乙方有下列情形之一的，甲方可以向乙方以书面形式通知对方的情况下，有权单方终止本约定书：</w:t>
      </w:r>
    </w:p>
    <w:p>
      <w:pPr>
        <w:spacing w:before="120" w:beforeLines="50" w:after="120" w:afterLines="50" w:line="360" w:lineRule="auto"/>
        <w:ind w:firstLine="424" w:firstLineChars="177"/>
        <w:rPr>
          <w:rFonts w:ascii="宋体" w:hAnsi="宋体"/>
          <w:color w:val="000000"/>
          <w:sz w:val="24"/>
        </w:rPr>
      </w:pPr>
      <w:r>
        <w:rPr>
          <w:rFonts w:hint="eastAsia" w:ascii="宋体" w:hAnsi="宋体"/>
          <w:color w:val="000000"/>
          <w:sz w:val="24"/>
        </w:rPr>
        <w:t>（1）乙方被证监会、财政部及其派出机构证监局、财政部及其专员办调查，面临行政处罚危险的；</w:t>
      </w:r>
    </w:p>
    <w:p>
      <w:pPr>
        <w:spacing w:before="120" w:beforeLines="50" w:after="120" w:afterLines="50" w:line="360" w:lineRule="auto"/>
        <w:ind w:firstLine="424" w:firstLineChars="177"/>
        <w:rPr>
          <w:rFonts w:ascii="宋体" w:hAnsi="宋体"/>
          <w:color w:val="000000"/>
          <w:sz w:val="24"/>
        </w:rPr>
      </w:pPr>
      <w:r>
        <w:rPr>
          <w:rFonts w:hint="eastAsia" w:ascii="宋体" w:hAnsi="宋体"/>
          <w:color w:val="000000"/>
          <w:sz w:val="24"/>
        </w:rPr>
        <w:t>（2）乙方审计的甲方项目被证监会、财政部及其派出机构证监局、财政部及其专员办调查，面临行政处罚危险的。</w:t>
      </w:r>
    </w:p>
    <w:p>
      <w:pPr>
        <w:spacing w:before="120" w:beforeLines="50" w:after="120" w:afterLines="50" w:line="360" w:lineRule="auto"/>
        <w:ind w:firstLine="424" w:firstLineChars="177"/>
        <w:rPr>
          <w:rFonts w:ascii="宋体" w:hAnsi="宋体"/>
          <w:color w:val="000000"/>
          <w:sz w:val="24"/>
        </w:rPr>
      </w:pPr>
      <w:r>
        <w:rPr>
          <w:rFonts w:hint="eastAsia" w:ascii="宋体" w:hAnsi="宋体"/>
          <w:color w:val="000000"/>
          <w:sz w:val="24"/>
        </w:rPr>
        <w:t>（3）乙方在签订本合同后，违背职业道德，在对甲方财务进行审计过程中不履责或履责不符合合同约定的；</w:t>
      </w:r>
    </w:p>
    <w:p>
      <w:pPr>
        <w:spacing w:before="120" w:beforeLines="50" w:after="120" w:afterLines="50" w:line="360" w:lineRule="auto"/>
        <w:ind w:firstLine="424" w:firstLineChars="177"/>
        <w:rPr>
          <w:rFonts w:ascii="宋体" w:hAnsi="宋体"/>
          <w:color w:val="000000"/>
          <w:sz w:val="24"/>
        </w:rPr>
      </w:pPr>
      <w:r>
        <w:rPr>
          <w:rFonts w:hint="eastAsia" w:ascii="宋体" w:hAnsi="宋体"/>
          <w:color w:val="000000"/>
          <w:sz w:val="24"/>
        </w:rPr>
        <w:t>（4）合同签订后，未有实质性工作进展，可能会导致审计工作不能如期完成的。</w:t>
      </w:r>
    </w:p>
    <w:p>
      <w:pPr>
        <w:spacing w:before="120" w:beforeLines="50" w:after="120" w:afterLines="50" w:line="360" w:lineRule="auto"/>
        <w:ind w:firstLine="424" w:firstLineChars="177"/>
        <w:rPr>
          <w:rFonts w:ascii="宋体" w:hAnsi="宋体"/>
          <w:color w:val="000000"/>
          <w:sz w:val="24"/>
        </w:rPr>
      </w:pPr>
      <w:r>
        <w:rPr>
          <w:rFonts w:hint="eastAsia" w:ascii="宋体" w:hAnsi="宋体"/>
          <w:color w:val="000000"/>
          <w:sz w:val="24"/>
        </w:rPr>
        <w:t>3、非因乙方原因，在本约定</w:t>
      </w:r>
      <w:r>
        <w:rPr>
          <w:rFonts w:ascii="宋体" w:hAnsi="宋体"/>
          <w:color w:val="000000"/>
          <w:sz w:val="24"/>
        </w:rPr>
        <w:t>书终止的情况下，乙方有权就其于终止之日前对约定的审计服务项目所做的工作收取合理的费用。</w:t>
      </w:r>
    </w:p>
    <w:p>
      <w:pPr>
        <w:spacing w:before="120" w:beforeLines="50" w:after="120" w:afterLines="50" w:line="360" w:lineRule="auto"/>
        <w:ind w:firstLine="426" w:firstLineChars="177"/>
        <w:rPr>
          <w:rFonts w:ascii="Times New Roman" w:hAnsi="Times New Roman" w:eastAsia="黑体"/>
          <w:b/>
          <w:sz w:val="24"/>
        </w:rPr>
      </w:pPr>
      <w:r>
        <w:rPr>
          <w:rFonts w:hint="eastAsia" w:ascii="Times New Roman" w:hAnsi="Times New Roman" w:eastAsia="黑体"/>
          <w:b/>
          <w:sz w:val="24"/>
        </w:rPr>
        <w:t>十、违约责任</w:t>
      </w:r>
    </w:p>
    <w:p>
      <w:pPr>
        <w:spacing w:before="120" w:beforeLines="50" w:after="120" w:afterLines="50" w:line="360" w:lineRule="auto"/>
        <w:ind w:firstLine="424" w:firstLineChars="177"/>
        <w:rPr>
          <w:rFonts w:ascii="Times New Roman" w:hAnsi="Times New Roman"/>
          <w:color w:val="000000"/>
          <w:sz w:val="24"/>
        </w:rPr>
      </w:pPr>
      <w:r>
        <w:rPr>
          <w:rFonts w:hint="eastAsia" w:ascii="Times New Roman" w:hAnsi="Times New Roman"/>
          <w:color w:val="000000"/>
          <w:sz w:val="24"/>
        </w:rPr>
        <w:t>甲方未按本合同约定支付合同款项的，每延误一日，应向乙方支付应付款款万分之二的违约金；乙方未按照本合同约定及时出具审计报告书的，每延误一日，应向甲方支付审计服务总费用万分之二的违约金。</w:t>
      </w:r>
    </w:p>
    <w:p>
      <w:pPr>
        <w:spacing w:before="72" w:beforeLines="30" w:after="72" w:afterLines="30" w:line="400" w:lineRule="atLeast"/>
        <w:ind w:firstLine="482" w:firstLineChars="200"/>
        <w:outlineLvl w:val="0"/>
        <w:rPr>
          <w:rFonts w:ascii="Times New Roman" w:hAnsi="Times New Roman" w:eastAsia="黑体"/>
          <w:b/>
          <w:sz w:val="24"/>
        </w:rPr>
      </w:pPr>
      <w:r>
        <w:rPr>
          <w:rFonts w:hint="eastAsia" w:ascii="Times New Roman" w:hAnsi="Times New Roman" w:eastAsia="黑体"/>
          <w:b/>
          <w:sz w:val="24"/>
        </w:rPr>
        <w:t>十一、适用法律和争议解决</w:t>
      </w:r>
    </w:p>
    <w:p>
      <w:pPr>
        <w:spacing w:before="72" w:beforeLines="30" w:after="72" w:afterLines="30" w:line="400" w:lineRule="atLeast"/>
        <w:ind w:firstLine="480" w:firstLineChars="200"/>
        <w:rPr>
          <w:rFonts w:ascii="Times New Roman" w:hAnsi="Times New Roman"/>
          <w:sz w:val="24"/>
        </w:rPr>
      </w:pPr>
      <w:r>
        <w:rPr>
          <w:rFonts w:hint="eastAsia" w:ascii="Times New Roman" w:hAnsi="Times New Roman"/>
          <w:sz w:val="24"/>
        </w:rPr>
        <w:t>本约定书的所有方面均应适用于中华人民共和国法律进行解释并受其约束。本约定书履行地为乙方出具审计报告所在地，因本约定书引起的或与本约定书有关的任何纠纷或争议（包括关于本约定书条款的存在、效力或终止，或无效之后果），双方协商确定采取以下第</w:t>
      </w:r>
      <w:r>
        <w:rPr>
          <w:rFonts w:hint="eastAsia" w:ascii="Times New Roman" w:hAnsi="Times New Roman"/>
          <w:sz w:val="24"/>
          <w:u w:val="single"/>
        </w:rPr>
        <w:t xml:space="preserve"> 1</w:t>
      </w:r>
      <w:r>
        <w:rPr>
          <w:rFonts w:hint="eastAsia" w:ascii="Times New Roman" w:hAnsi="Times New Roman"/>
          <w:sz w:val="24"/>
        </w:rPr>
        <w:t>种方式予以解决：</w:t>
      </w:r>
    </w:p>
    <w:p>
      <w:pPr>
        <w:spacing w:before="72" w:beforeLines="30" w:after="72" w:afterLines="30" w:line="400" w:lineRule="atLeast"/>
        <w:ind w:firstLine="480" w:firstLineChars="200"/>
        <w:rPr>
          <w:rFonts w:ascii="Times New Roman" w:hAnsi="Times New Roman"/>
          <w:sz w:val="24"/>
        </w:rPr>
      </w:pPr>
      <w:r>
        <w:rPr>
          <w:rFonts w:hint="eastAsia" w:ascii="Times New Roman" w:hAnsi="Times New Roman"/>
          <w:sz w:val="24"/>
        </w:rPr>
        <w:t xml:space="preserve">1. </w:t>
      </w:r>
      <w:r>
        <w:rPr>
          <w:rFonts w:hint="eastAsia" w:ascii="Times New Roman" w:hAnsi="Times New Roman"/>
          <w:color w:val="000000"/>
          <w:sz w:val="24"/>
        </w:rPr>
        <w:t>向</w:t>
      </w:r>
      <w:r>
        <w:rPr>
          <w:rFonts w:hint="eastAsia" w:ascii="Times New Roman" w:hAnsi="Times New Roman"/>
          <w:color w:val="000000"/>
          <w:sz w:val="24"/>
          <w:u w:val="single"/>
        </w:rPr>
        <w:t>甲方所在地</w:t>
      </w:r>
      <w:r>
        <w:rPr>
          <w:rFonts w:hint="eastAsia" w:ascii="Times New Roman" w:hAnsi="Times New Roman"/>
          <w:color w:val="000000"/>
          <w:sz w:val="24"/>
        </w:rPr>
        <w:t>人民法院</w:t>
      </w:r>
      <w:r>
        <w:rPr>
          <w:rFonts w:hint="eastAsia" w:ascii="Times New Roman" w:hAnsi="Times New Roman"/>
          <w:sz w:val="24"/>
        </w:rPr>
        <w:t>提起诉讼；</w:t>
      </w:r>
    </w:p>
    <w:p>
      <w:pPr>
        <w:spacing w:before="72" w:beforeLines="30" w:after="72" w:afterLines="30" w:line="400" w:lineRule="atLeast"/>
        <w:ind w:firstLine="480" w:firstLineChars="200"/>
        <w:rPr>
          <w:rFonts w:ascii="Times New Roman" w:hAnsi="Times New Roman" w:eastAsia="黑体"/>
          <w:b/>
          <w:sz w:val="24"/>
          <w:u w:val="single"/>
        </w:rPr>
      </w:pPr>
      <w:r>
        <w:rPr>
          <w:rFonts w:hint="eastAsia" w:ascii="Times New Roman" w:hAnsi="Times New Roman"/>
          <w:sz w:val="24"/>
        </w:rPr>
        <w:t>2. 提交</w:t>
      </w:r>
      <w:r>
        <w:rPr>
          <w:rFonts w:hint="eastAsia" w:ascii="Times New Roman" w:hAnsi="Times New Roman"/>
          <w:sz w:val="24"/>
          <w:u w:val="single"/>
        </w:rPr>
        <w:t xml:space="preserve"> 黄山市 </w:t>
      </w:r>
      <w:r>
        <w:rPr>
          <w:rFonts w:hint="eastAsia" w:ascii="Times New Roman" w:hAnsi="Times New Roman"/>
          <w:sz w:val="24"/>
        </w:rPr>
        <w:t>仲裁委员会仲裁。</w:t>
      </w:r>
    </w:p>
    <w:p>
      <w:pPr>
        <w:spacing w:before="72" w:beforeLines="30" w:after="72" w:afterLines="30" w:line="400" w:lineRule="atLeast"/>
        <w:ind w:firstLine="482" w:firstLineChars="200"/>
        <w:outlineLvl w:val="0"/>
        <w:rPr>
          <w:rFonts w:ascii="Times New Roman" w:hAnsi="Times New Roman" w:eastAsia="黑体"/>
          <w:b/>
          <w:sz w:val="24"/>
        </w:rPr>
      </w:pPr>
      <w:r>
        <w:rPr>
          <w:rFonts w:hint="eastAsia" w:ascii="Times New Roman" w:hAnsi="Times New Roman" w:eastAsia="黑体"/>
          <w:b/>
          <w:sz w:val="24"/>
        </w:rPr>
        <w:t>十二、双方对其他有关事项的约定</w:t>
      </w:r>
    </w:p>
    <w:p>
      <w:pPr>
        <w:spacing w:before="72" w:beforeLines="30" w:after="72" w:afterLines="30" w:line="400" w:lineRule="atLeast"/>
        <w:ind w:firstLine="480" w:firstLineChars="200"/>
        <w:rPr>
          <w:rFonts w:ascii="Times New Roman" w:hAnsi="Times New Roman"/>
          <w:sz w:val="24"/>
        </w:rPr>
      </w:pPr>
      <w:r>
        <w:rPr>
          <w:rFonts w:hint="eastAsia" w:ascii="Times New Roman" w:hAnsi="Times New Roman"/>
          <w:sz w:val="24"/>
        </w:rPr>
        <w:t>本约定书一式四份（双方签章后生效），甲、乙方各执两份，具有同等法律效力。</w:t>
      </w:r>
    </w:p>
    <w:p>
      <w:pPr>
        <w:spacing w:before="72" w:beforeLines="30" w:after="72" w:afterLines="30" w:line="400" w:lineRule="atLeast"/>
        <w:rPr>
          <w:rFonts w:ascii="Times New Roman" w:hAnsi="Times New Roman"/>
          <w:sz w:val="24"/>
        </w:rPr>
      </w:pPr>
    </w:p>
    <w:p>
      <w:pPr>
        <w:spacing w:before="72" w:beforeLines="30" w:after="72" w:afterLines="30" w:line="400" w:lineRule="atLeast"/>
        <w:rPr>
          <w:rFonts w:ascii="Times New Roman" w:hAnsi="Times New Roman"/>
          <w:sz w:val="24"/>
        </w:rPr>
      </w:pPr>
      <w:r>
        <w:rPr>
          <w:rFonts w:hint="eastAsia" w:ascii="Times New Roman" w:hAnsi="Times New Roman"/>
          <w:sz w:val="24"/>
        </w:rPr>
        <w:t xml:space="preserve">甲方：                                       乙方                                   </w:t>
      </w:r>
    </w:p>
    <w:p>
      <w:pPr>
        <w:spacing w:before="72" w:beforeLines="30" w:after="72" w:afterLines="30" w:line="400" w:lineRule="atLeast"/>
        <w:rPr>
          <w:rFonts w:ascii="Times New Roman" w:hAnsi="Times New Roman"/>
          <w:sz w:val="24"/>
        </w:rPr>
      </w:pPr>
      <w:r>
        <w:rPr>
          <w:rFonts w:hint="eastAsia" w:ascii="Times New Roman" w:hAnsi="Times New Roman"/>
          <w:sz w:val="24"/>
        </w:rPr>
        <w:t>授权代表：（签名或盖章）                     授权代表：（签名或盖章）</w:t>
      </w:r>
    </w:p>
    <w:p>
      <w:pPr>
        <w:spacing w:before="72" w:beforeLines="30" w:after="72" w:afterLines="30" w:line="400" w:lineRule="atLeast"/>
        <w:rPr>
          <w:rFonts w:ascii="Times New Roman" w:hAnsi="Times New Roman"/>
          <w:sz w:val="24"/>
        </w:rPr>
      </w:pPr>
      <w:r>
        <w:rPr>
          <w:rFonts w:hint="eastAsia" w:ascii="Times New Roman" w:hAnsi="Times New Roman"/>
          <w:sz w:val="24"/>
        </w:rPr>
        <w:t xml:space="preserve">    </w:t>
      </w:r>
      <w:r>
        <w:rPr>
          <w:rFonts w:hint="eastAsia" w:ascii="Times New Roman" w:hAnsi="Times New Roman"/>
        </w:rPr>
        <w:t xml:space="preserve">             </w:t>
      </w:r>
      <w:r>
        <w:rPr>
          <w:rFonts w:hint="eastAsia" w:ascii="Times New Roman" w:hAnsi="Times New Roman"/>
          <w:sz w:val="24"/>
        </w:rPr>
        <w:t xml:space="preserve">  </w:t>
      </w:r>
    </w:p>
    <w:p>
      <w:pPr>
        <w:jc w:val="center"/>
        <w:rPr>
          <w:rFonts w:ascii="Times New Roman" w:hAnsi="Times New Roman"/>
        </w:rPr>
      </w:pPr>
      <w:r>
        <w:rPr>
          <w:rFonts w:hint="eastAsia" w:ascii="Times New Roman" w:hAnsi="Times New Roman"/>
          <w:sz w:val="24"/>
        </w:rPr>
        <w:t xml:space="preserve">        年   月   日                                年   月   日</w:t>
      </w:r>
    </w:p>
    <w:p>
      <w:pPr>
        <w:rPr>
          <w:rFonts w:ascii="Times New Roman" w:hAnsi="Times New Roman"/>
        </w:rPr>
      </w:pPr>
      <w:bookmarkStart w:id="289" w:name="_Toc179632787"/>
      <w:bookmarkStart w:id="290" w:name="_Toc501460777"/>
      <w:bookmarkStart w:id="291" w:name="_Toc247085853"/>
      <w:bookmarkStart w:id="292" w:name="_Toc246997081"/>
      <w:bookmarkStart w:id="293" w:name="_Toc246996338"/>
      <w:bookmarkStart w:id="294" w:name="_Toc144974829"/>
      <w:bookmarkStart w:id="295" w:name="_Toc247527798"/>
      <w:bookmarkStart w:id="296" w:name="_Toc152042549"/>
      <w:bookmarkStart w:id="297" w:name="_Toc144974578"/>
      <w:bookmarkStart w:id="298" w:name="_Toc152042388"/>
      <w:bookmarkStart w:id="299" w:name="_Toc300835199"/>
      <w:bookmarkStart w:id="300" w:name="_Toc152045610"/>
      <w:bookmarkStart w:id="301" w:name="_Toc247514197"/>
      <w:bookmarkStart w:id="302" w:name="_Toc184635122"/>
    </w:p>
    <w:p>
      <w:pPr>
        <w:rPr>
          <w:rFonts w:ascii="Times New Roman" w:hAnsi="Times New Roman"/>
        </w:rPr>
      </w:pPr>
      <w:r>
        <w:rPr>
          <w:rFonts w:ascii="Times New Roman" w:hAnsi="Times New Roman"/>
        </w:rPr>
        <w:br w:type="page"/>
      </w: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bookmarkEnd w:id="289"/>
    <w:bookmarkEnd w:id="290"/>
    <w:bookmarkEnd w:id="291"/>
    <w:bookmarkEnd w:id="292"/>
    <w:bookmarkEnd w:id="293"/>
    <w:p>
      <w:pPr>
        <w:pStyle w:val="5"/>
        <w:rPr>
          <w:color w:val="auto"/>
        </w:rPr>
      </w:pPr>
      <w:bookmarkStart w:id="303" w:name="_Toc501460784"/>
      <w:bookmarkStart w:id="304" w:name="_Toc81853820"/>
      <w:bookmarkStart w:id="305" w:name="_Toc84601122"/>
      <w:r>
        <w:rPr>
          <w:color w:val="auto"/>
        </w:rPr>
        <w:t>第六章  响应文件格式</w:t>
      </w:r>
      <w:bookmarkEnd w:id="303"/>
      <w:bookmarkEnd w:id="304"/>
      <w:bookmarkEnd w:id="305"/>
    </w:p>
    <w:p>
      <w:pPr>
        <w:spacing w:line="400" w:lineRule="exact"/>
        <w:rPr>
          <w:rFonts w:ascii="Times New Roman" w:hAnsi="Times New Roman"/>
        </w:rPr>
      </w:pPr>
    </w:p>
    <w:p>
      <w:pPr>
        <w:spacing w:line="400" w:lineRule="exact"/>
        <w:rPr>
          <w:rFonts w:ascii="Times New Roman" w:hAnsi="Times New Roman"/>
        </w:rPr>
      </w:pPr>
      <w:r>
        <w:rPr>
          <w:rFonts w:ascii="Times New Roman" w:hAnsi="Times New Roman"/>
        </w:rPr>
        <w:br w:type="page"/>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r>
        <w:rPr>
          <w:rFonts w:ascii="Times New Roman" w:hAnsi="Times New Roman" w:eastAsia="黑体"/>
          <w:sz w:val="28"/>
          <w:szCs w:val="28"/>
          <w:u w:val="single"/>
        </w:rPr>
        <w:t xml:space="preserve">                 （项目名称）</w:t>
      </w:r>
    </w:p>
    <w:p>
      <w:pPr>
        <w:rPr>
          <w:rFonts w:ascii="Times New Roman" w:hAnsi="Times New Roman" w:eastAsia="黑体"/>
          <w:sz w:val="20"/>
        </w:rPr>
      </w:pPr>
    </w:p>
    <w:p>
      <w:pPr>
        <w:rPr>
          <w:rFonts w:ascii="Times New Roman" w:hAnsi="Times New Roman" w:eastAsia="黑体"/>
          <w:sz w:val="20"/>
        </w:rPr>
      </w:pPr>
    </w:p>
    <w:p>
      <w:pPr>
        <w:jc w:val="center"/>
        <w:rPr>
          <w:rFonts w:ascii="Times New Roman" w:hAnsi="Times New Roman" w:eastAsia="黑体"/>
          <w:sz w:val="44"/>
        </w:rPr>
      </w:pPr>
      <w:r>
        <w:rPr>
          <w:rFonts w:ascii="Times New Roman" w:hAnsi="Times New Roman" w:eastAsia="黑体"/>
          <w:sz w:val="44"/>
        </w:rPr>
        <w:t>响应文件</w:t>
      </w:r>
    </w:p>
    <w:p>
      <w:pPr>
        <w:jc w:val="center"/>
        <w:rPr>
          <w:rFonts w:ascii="Times New Roman" w:hAnsi="Times New Roman" w:eastAsia="黑体"/>
          <w:sz w:val="44"/>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spacing w:line="360" w:lineRule="auto"/>
        <w:rPr>
          <w:rFonts w:ascii="Times New Roman" w:hAnsi="Times New Roman" w:eastAsia="黑体"/>
          <w:sz w:val="28"/>
        </w:rPr>
      </w:pPr>
    </w:p>
    <w:p>
      <w:pPr>
        <w:spacing w:line="360" w:lineRule="auto"/>
        <w:ind w:firstLine="1120" w:firstLineChars="400"/>
        <w:rPr>
          <w:rFonts w:ascii="Times New Roman" w:hAnsi="Times New Roman" w:eastAsia="黑体"/>
          <w:sz w:val="28"/>
          <w:u w:val="single"/>
        </w:rPr>
      </w:pPr>
      <w:r>
        <w:rPr>
          <w:rFonts w:ascii="Times New Roman" w:hAnsi="Times New Roman" w:eastAsia="黑体"/>
          <w:sz w:val="28"/>
        </w:rPr>
        <w:t>供应商：</w:t>
      </w:r>
      <w:r>
        <w:rPr>
          <w:rFonts w:ascii="Times New Roman" w:hAnsi="Times New Roman"/>
          <w:u w:val="single"/>
        </w:rPr>
        <w:t xml:space="preserve">                                           </w:t>
      </w:r>
    </w:p>
    <w:p>
      <w:pPr>
        <w:jc w:val="center"/>
        <w:rPr>
          <w:rFonts w:ascii="Times New Roman" w:hAnsi="Times New Roman" w:eastAsia="黑体"/>
          <w:sz w:val="28"/>
        </w:rPr>
      </w:pPr>
    </w:p>
    <w:p>
      <w:pPr>
        <w:spacing w:line="400" w:lineRule="exact"/>
        <w:jc w:val="center"/>
        <w:rPr>
          <w:rFonts w:ascii="Times New Roman" w:hAnsi="Times New Roman"/>
        </w:rPr>
      </w:pPr>
      <w:r>
        <w:rPr>
          <w:rFonts w:ascii="Times New Roman" w:hAnsi="Times New Roman"/>
          <w:u w:val="single"/>
        </w:rPr>
        <w:t xml:space="preserve">       </w:t>
      </w:r>
      <w:r>
        <w:rPr>
          <w:rFonts w:ascii="Times New Roman" w:hAnsi="Times New Roman" w:eastAsia="黑体"/>
          <w:sz w:val="28"/>
        </w:rPr>
        <w:t>年</w:t>
      </w:r>
      <w:r>
        <w:rPr>
          <w:rFonts w:ascii="Times New Roman" w:hAnsi="Times New Roman"/>
          <w:u w:val="single"/>
        </w:rPr>
        <w:t xml:space="preserve">       </w:t>
      </w:r>
      <w:r>
        <w:rPr>
          <w:rFonts w:ascii="Times New Roman" w:hAnsi="Times New Roman" w:eastAsia="黑体"/>
          <w:sz w:val="28"/>
        </w:rPr>
        <w:t>月</w:t>
      </w:r>
      <w:r>
        <w:rPr>
          <w:rFonts w:ascii="Times New Roman" w:hAnsi="Times New Roman"/>
          <w:u w:val="single"/>
        </w:rPr>
        <w:t xml:space="preserve">       </w:t>
      </w:r>
      <w:r>
        <w:rPr>
          <w:rFonts w:ascii="Times New Roman" w:hAnsi="Times New Roman" w:eastAsia="黑体"/>
          <w:sz w:val="28"/>
        </w:rPr>
        <w:t>日</w:t>
      </w:r>
      <w:r>
        <w:rPr>
          <w:rFonts w:ascii="Times New Roman" w:hAnsi="Times New Roman"/>
        </w:rPr>
        <w:br w:type="page"/>
      </w:r>
    </w:p>
    <w:p>
      <w:pPr>
        <w:pStyle w:val="6"/>
        <w:rPr>
          <w:rFonts w:ascii="Times New Roman" w:hAnsi="Times New Roman"/>
        </w:rPr>
      </w:pPr>
      <w:bookmarkStart w:id="306" w:name="_Toc81853821"/>
      <w:bookmarkStart w:id="307" w:name="_Toc501460785"/>
      <w:r>
        <w:rPr>
          <w:rFonts w:ascii="Times New Roman" w:hAnsi="Times New Roman"/>
        </w:rPr>
        <w:t>目  录</w:t>
      </w:r>
      <w:bookmarkEnd w:id="306"/>
      <w:bookmarkEnd w:id="307"/>
    </w:p>
    <w:p>
      <w:pPr>
        <w:spacing w:line="540" w:lineRule="exact"/>
        <w:rPr>
          <w:rFonts w:ascii="Times New Roman" w:hAnsi="Times New Roman"/>
        </w:rPr>
      </w:pPr>
      <w:r>
        <w:rPr>
          <w:rFonts w:ascii="Times New Roman" w:hAnsi="Times New Roman"/>
        </w:rPr>
        <w:t>一、响应函</w:t>
      </w:r>
    </w:p>
    <w:p>
      <w:pPr>
        <w:spacing w:line="540" w:lineRule="exact"/>
        <w:rPr>
          <w:rFonts w:ascii="Times New Roman" w:hAnsi="Times New Roman"/>
        </w:rPr>
      </w:pPr>
      <w:r>
        <w:rPr>
          <w:rFonts w:ascii="Times New Roman" w:hAnsi="Times New Roman"/>
        </w:rPr>
        <w:t>二、法人代表身份证明</w:t>
      </w:r>
    </w:p>
    <w:p>
      <w:pPr>
        <w:spacing w:line="540" w:lineRule="exact"/>
        <w:rPr>
          <w:rFonts w:ascii="Times New Roman" w:hAnsi="Times New Roman"/>
        </w:rPr>
      </w:pPr>
      <w:r>
        <w:rPr>
          <w:rFonts w:ascii="Times New Roman" w:hAnsi="Times New Roman"/>
        </w:rPr>
        <w:t>三、授权委托书（适用于有委托代理人的情况）</w:t>
      </w:r>
    </w:p>
    <w:p>
      <w:pPr>
        <w:spacing w:line="540" w:lineRule="exact"/>
        <w:rPr>
          <w:rFonts w:ascii="Times New Roman" w:hAnsi="Times New Roman"/>
        </w:rPr>
      </w:pPr>
      <w:r>
        <w:rPr>
          <w:rFonts w:ascii="Times New Roman" w:hAnsi="Times New Roman"/>
        </w:rPr>
        <w:t>四、联合体协议书（适用于供应商组成联合体的情况）</w:t>
      </w:r>
    </w:p>
    <w:p>
      <w:pPr>
        <w:spacing w:line="540" w:lineRule="exact"/>
        <w:rPr>
          <w:rFonts w:ascii="Times New Roman" w:hAnsi="Times New Roman"/>
        </w:rPr>
      </w:pPr>
      <w:r>
        <w:rPr>
          <w:rFonts w:ascii="Times New Roman" w:hAnsi="Times New Roman"/>
        </w:rPr>
        <w:t>五、响应保证金（适用于递交响应保证金的情况）</w:t>
      </w:r>
    </w:p>
    <w:p>
      <w:pPr>
        <w:spacing w:line="540" w:lineRule="exact"/>
        <w:rPr>
          <w:rFonts w:ascii="Times New Roman" w:hAnsi="Times New Roman"/>
        </w:rPr>
      </w:pPr>
      <w:r>
        <w:rPr>
          <w:rFonts w:ascii="Times New Roman" w:hAnsi="Times New Roman"/>
        </w:rPr>
        <w:t>六、商务和技术偏差表</w:t>
      </w:r>
    </w:p>
    <w:p>
      <w:pPr>
        <w:spacing w:line="540" w:lineRule="exact"/>
        <w:rPr>
          <w:rFonts w:ascii="Times New Roman" w:hAnsi="Times New Roman"/>
        </w:rPr>
      </w:pPr>
      <w:r>
        <w:rPr>
          <w:rFonts w:ascii="Times New Roman" w:hAnsi="Times New Roman"/>
        </w:rPr>
        <w:t>七、报价表</w:t>
      </w:r>
    </w:p>
    <w:p>
      <w:pPr>
        <w:spacing w:line="540" w:lineRule="exact"/>
        <w:rPr>
          <w:rFonts w:ascii="Times New Roman" w:hAnsi="Times New Roman"/>
        </w:rPr>
      </w:pPr>
      <w:r>
        <w:rPr>
          <w:rFonts w:ascii="Times New Roman" w:hAnsi="Times New Roman"/>
        </w:rPr>
        <w:t>八、资格审查资料</w:t>
      </w:r>
    </w:p>
    <w:p>
      <w:pPr>
        <w:spacing w:line="540" w:lineRule="exact"/>
        <w:rPr>
          <w:rFonts w:ascii="Times New Roman" w:hAnsi="Times New Roman"/>
        </w:rPr>
      </w:pPr>
      <w:r>
        <w:rPr>
          <w:rFonts w:ascii="Times New Roman" w:hAnsi="Times New Roman"/>
        </w:rPr>
        <w:t>九、响应方案</w:t>
      </w:r>
    </w:p>
    <w:p>
      <w:pPr>
        <w:spacing w:line="540" w:lineRule="exact"/>
        <w:rPr>
          <w:rFonts w:ascii="Times New Roman" w:hAnsi="Times New Roman"/>
        </w:rPr>
      </w:pPr>
      <w:bookmarkStart w:id="308" w:name="_Toc369531691"/>
      <w:bookmarkStart w:id="309" w:name="_Toc7039"/>
      <w:bookmarkStart w:id="310" w:name="_Toc352691655"/>
      <w:r>
        <w:rPr>
          <w:rFonts w:ascii="Times New Roman" w:hAnsi="Times New Roman"/>
        </w:rPr>
        <w:t>十、其他资料</w:t>
      </w:r>
    </w:p>
    <w:p>
      <w:pPr>
        <w:spacing w:line="540" w:lineRule="exact"/>
        <w:rPr>
          <w:rFonts w:ascii="Times New Roman" w:hAnsi="Times New Roman" w:eastAsia="黑体"/>
          <w:sz w:val="20"/>
        </w:rPr>
      </w:pPr>
      <w:r>
        <w:rPr>
          <w:rFonts w:ascii="Times New Roman" w:hAnsi="Times New Roman"/>
        </w:rPr>
        <w:br w:type="page"/>
      </w:r>
    </w:p>
    <w:bookmarkEnd w:id="308"/>
    <w:bookmarkEnd w:id="309"/>
    <w:bookmarkEnd w:id="310"/>
    <w:p>
      <w:pPr>
        <w:pStyle w:val="6"/>
        <w:jc w:val="center"/>
        <w:rPr>
          <w:rFonts w:ascii="Times New Roman" w:hAnsi="Times New Roman"/>
        </w:rPr>
      </w:pPr>
      <w:bookmarkStart w:id="311" w:name="_Toc501460786"/>
      <w:bookmarkStart w:id="312" w:name="_Toc81853822"/>
      <w:r>
        <w:rPr>
          <w:rFonts w:ascii="Times New Roman" w:hAnsi="Times New Roman"/>
        </w:rPr>
        <w:t>一、</w:t>
      </w:r>
      <w:bookmarkEnd w:id="311"/>
      <w:bookmarkStart w:id="313" w:name="_Toc352691656"/>
      <w:bookmarkStart w:id="314" w:name="_Toc369531692"/>
      <w:bookmarkStart w:id="315" w:name="_Toc6931"/>
      <w:r>
        <w:rPr>
          <w:rFonts w:ascii="Times New Roman" w:hAnsi="Times New Roman"/>
        </w:rPr>
        <w:t>响应函</w:t>
      </w:r>
      <w:bookmarkEnd w:id="312"/>
    </w:p>
    <w:bookmarkEnd w:id="313"/>
    <w:bookmarkEnd w:id="314"/>
    <w:bookmarkEnd w:id="315"/>
    <w:p>
      <w:pPr>
        <w:spacing w:line="440" w:lineRule="exact"/>
        <w:rPr>
          <w:rFonts w:ascii="Times New Roman" w:hAnsi="Times New Roman"/>
          <w:szCs w:val="21"/>
        </w:rPr>
      </w:pPr>
      <w:r>
        <w:rPr>
          <w:rFonts w:ascii="Times New Roman" w:hAnsi="Times New Roman"/>
          <w:u w:val="single"/>
        </w:rPr>
        <w:t xml:space="preserve">                  </w:t>
      </w:r>
      <w:r>
        <w:rPr>
          <w:rFonts w:ascii="Times New Roman" w:hAnsi="Times New Roman"/>
          <w:szCs w:val="21"/>
          <w:u w:val="single"/>
        </w:rPr>
        <w:t>（采购人名称）</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1．我方已仔细研究了</w:t>
      </w:r>
      <w:r>
        <w:rPr>
          <w:rFonts w:ascii="Times New Roman" w:hAnsi="Times New Roman"/>
          <w:u w:val="single"/>
        </w:rPr>
        <w:t xml:space="preserve">                  （项目名称）</w:t>
      </w:r>
      <w:r>
        <w:rPr>
          <w:rFonts w:ascii="Times New Roman" w:hAnsi="Times New Roman"/>
          <w:szCs w:val="21"/>
        </w:rPr>
        <w:t>采购文件的全部内容，愿意以含税价人民币（大写）</w:t>
      </w:r>
      <w:r>
        <w:rPr>
          <w:rFonts w:ascii="Times New Roman" w:hAnsi="Times New Roman"/>
          <w:u w:val="single"/>
        </w:rPr>
        <w:t xml:space="preserve">               </w:t>
      </w:r>
      <w:r>
        <w:rPr>
          <w:rFonts w:ascii="Times New Roman" w:hAnsi="Times New Roman"/>
          <w:szCs w:val="21"/>
        </w:rPr>
        <w:t>（¥</w:t>
      </w:r>
      <w:r>
        <w:rPr>
          <w:rFonts w:ascii="Times New Roman" w:hAnsi="Times New Roman"/>
          <w:u w:val="single"/>
        </w:rPr>
        <w:t xml:space="preserve">               </w:t>
      </w:r>
      <w:r>
        <w:rPr>
          <w:rFonts w:ascii="Times New Roman" w:hAnsi="Times New Roman"/>
          <w:szCs w:val="21"/>
        </w:rPr>
        <w:t>）的报价（其中不含税价为：</w:t>
      </w:r>
      <w:r>
        <w:rPr>
          <w:rFonts w:ascii="Times New Roman" w:hAnsi="Times New Roman" w:eastAsia="黑体"/>
          <w:sz w:val="28"/>
          <w:u w:val="single"/>
        </w:rPr>
        <w:t xml:space="preserve">       </w:t>
      </w:r>
      <w:r>
        <w:rPr>
          <w:rFonts w:ascii="Times New Roman" w:hAnsi="Times New Roman"/>
          <w:szCs w:val="21"/>
        </w:rPr>
        <w:t>，增值税税额为：</w:t>
      </w:r>
      <w:r>
        <w:rPr>
          <w:rFonts w:ascii="Times New Roman" w:hAnsi="Times New Roman" w:eastAsia="黑体"/>
          <w:sz w:val="28"/>
          <w:u w:val="single"/>
        </w:rPr>
        <w:t xml:space="preserve">         </w:t>
      </w:r>
      <w:r>
        <w:rPr>
          <w:rFonts w:ascii="Times New Roman" w:hAnsi="Times New Roman"/>
          <w:szCs w:val="21"/>
        </w:rPr>
        <w:t>）完成/提供</w:t>
      </w:r>
      <w:r>
        <w:rPr>
          <w:rFonts w:ascii="Times New Roman" w:hAnsi="Times New Roman"/>
        </w:rPr>
        <w:t>本项目</w:t>
      </w:r>
      <w:r>
        <w:rPr>
          <w:rFonts w:ascii="Times New Roman" w:hAnsi="Times New Roman"/>
          <w:szCs w:val="21"/>
        </w:rPr>
        <w:t>工程/货物/服务，并按合同约定履行义务。</w:t>
      </w:r>
    </w:p>
    <w:p>
      <w:pPr>
        <w:spacing w:line="440" w:lineRule="exact"/>
        <w:ind w:firstLine="420" w:firstLineChars="200"/>
        <w:rPr>
          <w:rFonts w:ascii="Times New Roman" w:hAnsi="Times New Roman"/>
          <w:szCs w:val="21"/>
        </w:rPr>
      </w:pPr>
      <w:r>
        <w:rPr>
          <w:rFonts w:ascii="Times New Roman" w:hAnsi="Times New Roman"/>
          <w:szCs w:val="21"/>
        </w:rPr>
        <w:t>2. 我方的响应文件包括下列内容：</w:t>
      </w:r>
    </w:p>
    <w:p>
      <w:pPr>
        <w:spacing w:line="400" w:lineRule="exact"/>
        <w:ind w:firstLine="405"/>
        <w:rPr>
          <w:rFonts w:ascii="Times New Roman" w:hAnsi="Times New Roman"/>
        </w:rPr>
      </w:pPr>
      <w:r>
        <w:rPr>
          <w:rFonts w:ascii="Times New Roman" w:hAnsi="Times New Roman"/>
        </w:rPr>
        <w:t>（1）响应函；</w:t>
      </w:r>
    </w:p>
    <w:p>
      <w:pPr>
        <w:spacing w:line="400" w:lineRule="exact"/>
        <w:ind w:firstLine="405"/>
        <w:rPr>
          <w:rFonts w:ascii="Times New Roman" w:hAnsi="Times New Roman"/>
        </w:rPr>
      </w:pPr>
      <w:r>
        <w:rPr>
          <w:rFonts w:ascii="Times New Roman" w:hAnsi="Times New Roman"/>
        </w:rPr>
        <w:t>（2）法人代表身份证明；</w:t>
      </w:r>
    </w:p>
    <w:p>
      <w:pPr>
        <w:spacing w:line="400" w:lineRule="exact"/>
        <w:ind w:firstLine="405"/>
        <w:rPr>
          <w:rFonts w:ascii="Times New Roman" w:hAnsi="Times New Roman"/>
        </w:rPr>
      </w:pPr>
      <w:r>
        <w:rPr>
          <w:rFonts w:ascii="Times New Roman" w:hAnsi="Times New Roman"/>
        </w:rPr>
        <w:t>（3）授权委托书（如有）；</w:t>
      </w:r>
    </w:p>
    <w:p>
      <w:pPr>
        <w:spacing w:line="400" w:lineRule="exact"/>
        <w:ind w:firstLine="405"/>
        <w:rPr>
          <w:rFonts w:ascii="Times New Roman" w:hAnsi="Times New Roman"/>
        </w:rPr>
      </w:pPr>
      <w:r>
        <w:rPr>
          <w:rFonts w:ascii="Times New Roman" w:hAnsi="Times New Roman"/>
        </w:rPr>
        <w:t>（4）联合体协议书（如有）；</w:t>
      </w:r>
    </w:p>
    <w:p>
      <w:pPr>
        <w:spacing w:line="400" w:lineRule="exact"/>
        <w:ind w:firstLine="405"/>
        <w:rPr>
          <w:rFonts w:ascii="Times New Roman" w:hAnsi="Times New Roman"/>
        </w:rPr>
      </w:pPr>
      <w:r>
        <w:rPr>
          <w:rFonts w:ascii="Times New Roman" w:hAnsi="Times New Roman"/>
        </w:rPr>
        <w:t>（5）响应保证金（如有）；</w:t>
      </w:r>
    </w:p>
    <w:p>
      <w:pPr>
        <w:spacing w:line="400" w:lineRule="exact"/>
        <w:ind w:firstLine="405"/>
        <w:rPr>
          <w:rFonts w:ascii="Times New Roman" w:hAnsi="Times New Roman"/>
        </w:rPr>
      </w:pPr>
      <w:r>
        <w:rPr>
          <w:rFonts w:ascii="Times New Roman" w:hAnsi="Times New Roman"/>
        </w:rPr>
        <w:t>（6）商务和技术偏差表；</w:t>
      </w:r>
    </w:p>
    <w:p>
      <w:pPr>
        <w:spacing w:line="400" w:lineRule="exact"/>
        <w:ind w:firstLine="405"/>
        <w:rPr>
          <w:rFonts w:ascii="Times New Roman" w:hAnsi="Times New Roman"/>
        </w:rPr>
      </w:pPr>
      <w:r>
        <w:rPr>
          <w:rFonts w:ascii="Times New Roman" w:hAnsi="Times New Roman"/>
        </w:rPr>
        <w:t>（7）报价表；</w:t>
      </w:r>
    </w:p>
    <w:p>
      <w:pPr>
        <w:spacing w:line="400" w:lineRule="exact"/>
        <w:ind w:firstLine="405"/>
        <w:rPr>
          <w:rFonts w:ascii="Times New Roman" w:hAnsi="Times New Roman"/>
        </w:rPr>
      </w:pPr>
      <w:r>
        <w:rPr>
          <w:rFonts w:ascii="Times New Roman" w:hAnsi="Times New Roman"/>
        </w:rPr>
        <w:t>（8）资格审查资料；</w:t>
      </w:r>
    </w:p>
    <w:p>
      <w:pPr>
        <w:spacing w:line="400" w:lineRule="exact"/>
        <w:ind w:firstLine="405"/>
        <w:rPr>
          <w:rFonts w:ascii="Times New Roman" w:hAnsi="Times New Roman"/>
        </w:rPr>
      </w:pPr>
      <w:r>
        <w:rPr>
          <w:rFonts w:ascii="Times New Roman" w:hAnsi="Times New Roman"/>
        </w:rPr>
        <w:t>（9）响应方案；</w:t>
      </w:r>
    </w:p>
    <w:p>
      <w:pPr>
        <w:spacing w:line="400" w:lineRule="exact"/>
        <w:ind w:firstLine="405"/>
        <w:rPr>
          <w:rFonts w:ascii="Times New Roman" w:hAnsi="Times New Roman"/>
        </w:rPr>
      </w:pPr>
      <w:r>
        <w:rPr>
          <w:rFonts w:ascii="Times New Roman" w:hAnsi="Times New Roman"/>
        </w:rPr>
        <w:t>（10）供应商须知前附表规定的其他资料。</w:t>
      </w:r>
    </w:p>
    <w:p>
      <w:pPr>
        <w:spacing w:line="440" w:lineRule="exact"/>
        <w:ind w:firstLine="420" w:firstLineChars="200"/>
        <w:rPr>
          <w:rFonts w:ascii="Times New Roman" w:hAnsi="Times New Roman"/>
          <w:szCs w:val="21"/>
        </w:rPr>
      </w:pPr>
      <w:r>
        <w:rPr>
          <w:rFonts w:ascii="Times New Roman" w:hAnsi="Times New Roman"/>
          <w:szCs w:val="21"/>
        </w:rPr>
        <w:t>响应文件的上述组成部分如存在内容不一致的，以响应函为准。</w:t>
      </w:r>
    </w:p>
    <w:p>
      <w:pPr>
        <w:spacing w:line="440" w:lineRule="exact"/>
        <w:ind w:firstLine="420" w:firstLineChars="200"/>
        <w:rPr>
          <w:rFonts w:ascii="Times New Roman" w:hAnsi="Times New Roman"/>
          <w:szCs w:val="21"/>
        </w:rPr>
      </w:pPr>
      <w:r>
        <w:rPr>
          <w:rFonts w:ascii="Times New Roman" w:hAnsi="Times New Roman"/>
          <w:szCs w:val="21"/>
        </w:rPr>
        <w:t>3．我方承诺除</w:t>
      </w:r>
      <w:r>
        <w:rPr>
          <w:rFonts w:ascii="Times New Roman" w:hAnsi="Times New Roman"/>
          <w:sz w:val="22"/>
        </w:rPr>
        <w:t>商务和技术</w:t>
      </w:r>
      <w:r>
        <w:rPr>
          <w:rFonts w:ascii="Times New Roman" w:hAnsi="Times New Roman"/>
          <w:szCs w:val="21"/>
        </w:rPr>
        <w:t>偏差表列出的偏差外，我方响应采购文件的全部要求。</w:t>
      </w:r>
    </w:p>
    <w:p>
      <w:pPr>
        <w:spacing w:line="440" w:lineRule="exact"/>
        <w:ind w:firstLine="420" w:firstLineChars="200"/>
        <w:rPr>
          <w:rFonts w:ascii="Times New Roman" w:hAnsi="Times New Roman"/>
          <w:szCs w:val="21"/>
        </w:rPr>
      </w:pPr>
      <w:r>
        <w:rPr>
          <w:rFonts w:ascii="Times New Roman" w:hAnsi="Times New Roman"/>
          <w:szCs w:val="21"/>
        </w:rPr>
        <w:t>4．我方承诺在采购文件规定的响应文件有效期内不撤销响应文件。</w:t>
      </w:r>
    </w:p>
    <w:p>
      <w:pPr>
        <w:spacing w:line="440" w:lineRule="exact"/>
        <w:ind w:firstLine="420" w:firstLineChars="200"/>
        <w:rPr>
          <w:rFonts w:ascii="Times New Roman" w:hAnsi="Times New Roman"/>
          <w:szCs w:val="21"/>
        </w:rPr>
      </w:pPr>
      <w:r>
        <w:rPr>
          <w:rFonts w:ascii="Times New Roman" w:hAnsi="Times New Roman"/>
          <w:szCs w:val="21"/>
        </w:rPr>
        <w:t>5．如我方成交，我方承诺：</w:t>
      </w:r>
    </w:p>
    <w:p>
      <w:pPr>
        <w:spacing w:line="400" w:lineRule="exact"/>
        <w:ind w:firstLine="405"/>
        <w:rPr>
          <w:rFonts w:ascii="Times New Roman" w:hAnsi="Times New Roman"/>
        </w:rPr>
      </w:pPr>
      <w:r>
        <w:rPr>
          <w:rFonts w:ascii="Times New Roman" w:hAnsi="Times New Roman"/>
        </w:rPr>
        <w:t>（1）在收到成交通知书后，在成交通知书规定的期限内与你方签订合同；</w:t>
      </w:r>
    </w:p>
    <w:p>
      <w:pPr>
        <w:spacing w:line="400" w:lineRule="exact"/>
        <w:ind w:firstLine="405"/>
        <w:rPr>
          <w:rFonts w:ascii="Times New Roman" w:hAnsi="Times New Roman"/>
        </w:rPr>
      </w:pPr>
      <w:r>
        <w:rPr>
          <w:rFonts w:ascii="Times New Roman" w:hAnsi="Times New Roman"/>
        </w:rPr>
        <w:t>（2）在签订合同时不向你方提出附加条件；</w:t>
      </w:r>
    </w:p>
    <w:p>
      <w:pPr>
        <w:spacing w:line="400" w:lineRule="exact"/>
        <w:ind w:firstLine="405"/>
        <w:rPr>
          <w:rFonts w:ascii="Times New Roman" w:hAnsi="Times New Roman"/>
        </w:rPr>
      </w:pPr>
      <w:r>
        <w:rPr>
          <w:rFonts w:ascii="Times New Roman" w:hAnsi="Times New Roman"/>
        </w:rPr>
        <w:t>（3）按照采购文件要求递交履约保证金；</w:t>
      </w:r>
      <w:bookmarkStart w:id="316" w:name="_Toc369531694"/>
      <w:bookmarkStart w:id="317" w:name="_Toc1187"/>
      <w:bookmarkStart w:id="318" w:name="_Toc352691658"/>
    </w:p>
    <w:p>
      <w:pPr>
        <w:spacing w:line="400" w:lineRule="exact"/>
        <w:ind w:firstLine="405"/>
        <w:rPr>
          <w:rFonts w:ascii="Times New Roman" w:hAnsi="Times New Roman"/>
        </w:rPr>
      </w:pPr>
      <w:r>
        <w:rPr>
          <w:rFonts w:ascii="Times New Roman" w:hAnsi="Times New Roman"/>
        </w:rPr>
        <w:t>（4</w:t>
      </w:r>
      <w:bookmarkEnd w:id="316"/>
      <w:bookmarkEnd w:id="317"/>
      <w:bookmarkEnd w:id="318"/>
      <w:r>
        <w:rPr>
          <w:rFonts w:ascii="Times New Roman" w:hAnsi="Times New Roman"/>
        </w:rPr>
        <w:t>）在合同约定的期限内完成合同规定的全部义务。</w:t>
      </w:r>
    </w:p>
    <w:p>
      <w:pPr>
        <w:spacing w:line="440" w:lineRule="exact"/>
        <w:ind w:firstLine="420" w:firstLineChars="200"/>
        <w:rPr>
          <w:rFonts w:ascii="Times New Roman" w:hAnsi="Times New Roman"/>
          <w:szCs w:val="21"/>
        </w:rPr>
      </w:pPr>
      <w:r>
        <w:rPr>
          <w:rFonts w:ascii="Times New Roman" w:hAnsi="Times New Roman"/>
          <w:szCs w:val="21"/>
        </w:rPr>
        <w:t>6．</w:t>
      </w:r>
      <w:r>
        <w:rPr>
          <w:rFonts w:ascii="Times New Roman" w:hAnsi="Times New Roman"/>
        </w:rPr>
        <w:t>我方在此声明，所递交的响应文件及有关资料内容完整、真实和准确，不存在第一章“询比采购公告/询比采购邀请书”中的不良信用记录情形，且不存在第一章“询比采购公告/询比采购邀请书”中规定的供应商不得存在的情形。</w:t>
      </w:r>
    </w:p>
    <w:p>
      <w:pPr>
        <w:spacing w:line="440" w:lineRule="exact"/>
        <w:ind w:firstLine="420" w:firstLineChars="200"/>
        <w:rPr>
          <w:rFonts w:ascii="Times New Roman" w:hAnsi="Times New Roman"/>
          <w:szCs w:val="21"/>
        </w:rPr>
      </w:pPr>
      <w:r>
        <w:rPr>
          <w:rFonts w:ascii="Times New Roman" w:hAnsi="Times New Roman"/>
          <w:szCs w:val="21"/>
        </w:rPr>
        <w:t>7．</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（其他补充说明）</w:t>
      </w:r>
      <w:r>
        <w:rPr>
          <w:rFonts w:ascii="Times New Roman" w:hAnsi="Times New Roman"/>
          <w:szCs w:val="21"/>
        </w:rPr>
        <w:t>。</w:t>
      </w:r>
    </w:p>
    <w:p>
      <w:pPr>
        <w:spacing w:line="440" w:lineRule="exact"/>
        <w:ind w:firstLine="420" w:firstLineChars="200"/>
        <w:rPr>
          <w:rFonts w:ascii="Times New Roman" w:hAnsi="Times New Roman"/>
          <w:szCs w:val="21"/>
        </w:rPr>
      </w:pPr>
    </w:p>
    <w:bookmarkEnd w:id="294"/>
    <w:bookmarkEnd w:id="295"/>
    <w:bookmarkEnd w:id="296"/>
    <w:bookmarkEnd w:id="297"/>
    <w:bookmarkEnd w:id="298"/>
    <w:bookmarkEnd w:id="299"/>
    <w:bookmarkEnd w:id="300"/>
    <w:bookmarkEnd w:id="301"/>
    <w:bookmarkEnd w:id="302"/>
    <w:p>
      <w:pPr>
        <w:spacing w:line="440" w:lineRule="exact"/>
        <w:ind w:firstLine="2100" w:firstLineChars="1000"/>
        <w:jc w:val="left"/>
        <w:rPr>
          <w:rFonts w:ascii="Times New Roman" w:hAnsi="Times New Roman"/>
          <w:szCs w:val="21"/>
        </w:rPr>
      </w:pPr>
      <w:bookmarkStart w:id="319" w:name="_Toc352691659"/>
      <w:bookmarkEnd w:id="319"/>
      <w:bookmarkStart w:id="320" w:name="_Toc352691660"/>
      <w:bookmarkEnd w:id="320"/>
      <w:bookmarkStart w:id="321" w:name="_Toc16824"/>
      <w:bookmarkEnd w:id="321"/>
      <w:bookmarkStart w:id="322" w:name="_Toc16568"/>
      <w:bookmarkEnd w:id="322"/>
      <w:bookmarkStart w:id="323" w:name="_Toc369531695"/>
      <w:bookmarkEnd w:id="323"/>
      <w:bookmarkStart w:id="324" w:name="_Toc369531696"/>
      <w:bookmarkEnd w:id="324"/>
      <w:r>
        <w:rPr>
          <w:rFonts w:ascii="Times New Roman" w:hAnsi="Times New Roman"/>
          <w:szCs w:val="21"/>
        </w:rPr>
        <w:t>供 应 商：</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100" w:firstLineChars="1000"/>
        <w:jc w:val="left"/>
        <w:rPr>
          <w:rFonts w:ascii="Times New Roman" w:hAnsi="Times New Roman"/>
          <w:szCs w:val="21"/>
        </w:rPr>
      </w:pPr>
      <w:r>
        <w:rPr>
          <w:rFonts w:ascii="Times New Roman" w:hAnsi="Times New Roman"/>
        </w:rPr>
        <w:t>法定代表人（单位负责人）</w:t>
      </w:r>
      <w:r>
        <w:rPr>
          <w:rFonts w:ascii="Times New Roman" w:hAnsi="Times New Roman"/>
          <w:szCs w:val="21"/>
        </w:rPr>
        <w:t>或其委托代理人：</w:t>
      </w:r>
      <w:r>
        <w:rPr>
          <w:rFonts w:ascii="Times New Roman" w:hAnsi="Times New Roman"/>
          <w:szCs w:val="21"/>
          <w:u w:val="single"/>
        </w:rPr>
        <w:t xml:space="preserve">       （签字或盖章）</w:t>
      </w:r>
    </w:p>
    <w:p>
      <w:pPr>
        <w:spacing w:line="440" w:lineRule="exact"/>
        <w:ind w:firstLine="2100" w:firstLineChars="1000"/>
        <w:jc w:val="left"/>
        <w:rPr>
          <w:rFonts w:ascii="Times New Roman" w:hAnsi="Times New Roman"/>
          <w:szCs w:val="21"/>
          <w:u w:val="single"/>
        </w:rPr>
      </w:pPr>
      <w:r>
        <w:rPr>
          <w:rFonts w:ascii="Times New Roman" w:hAnsi="Times New Roman"/>
          <w:szCs w:val="21"/>
        </w:rPr>
        <w:t>地    址：</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100" w:firstLineChars="1000"/>
        <w:jc w:val="left"/>
        <w:rPr>
          <w:rFonts w:ascii="Times New Roman" w:hAnsi="Times New Roman"/>
          <w:szCs w:val="21"/>
        </w:rPr>
      </w:pPr>
      <w:r>
        <w:rPr>
          <w:rFonts w:ascii="Times New Roman" w:hAnsi="Times New Roman"/>
          <w:szCs w:val="21"/>
        </w:rPr>
        <w:t>电子邮箱：</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100" w:firstLineChars="1000"/>
        <w:jc w:val="left"/>
        <w:rPr>
          <w:rFonts w:ascii="Times New Roman" w:hAnsi="Times New Roman"/>
          <w:szCs w:val="21"/>
        </w:rPr>
      </w:pPr>
      <w:r>
        <w:rPr>
          <w:rFonts w:ascii="Times New Roman" w:hAnsi="Times New Roman"/>
          <w:szCs w:val="21"/>
        </w:rPr>
        <w:t>电    话：</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100" w:firstLineChars="1000"/>
        <w:jc w:val="left"/>
        <w:rPr>
          <w:rFonts w:ascii="Times New Roman" w:hAnsi="Times New Roman"/>
          <w:szCs w:val="21"/>
        </w:rPr>
      </w:pPr>
      <w:r>
        <w:rPr>
          <w:rFonts w:ascii="Times New Roman" w:hAnsi="Times New Roman"/>
          <w:szCs w:val="21"/>
        </w:rPr>
        <w:t>传    真：</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100" w:firstLineChars="1000"/>
        <w:jc w:val="left"/>
        <w:rPr>
          <w:rFonts w:ascii="Times New Roman" w:hAnsi="Times New Roman"/>
          <w:szCs w:val="21"/>
        </w:rPr>
      </w:pPr>
      <w:r>
        <w:rPr>
          <w:rFonts w:ascii="Times New Roman" w:hAnsi="Times New Roman"/>
          <w:szCs w:val="21"/>
        </w:rPr>
        <w:t>邮政编码：</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4725" w:firstLineChars="2250"/>
        <w:jc w:val="right"/>
        <w:rPr>
          <w:rFonts w:ascii="Times New Roman" w:hAnsi="Times New Roman"/>
          <w:szCs w:val="21"/>
        </w:rPr>
      </w:pP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w:t>
      </w:r>
    </w:p>
    <w:p>
      <w:pPr>
        <w:spacing w:line="440" w:lineRule="exact"/>
        <w:rPr>
          <w:rFonts w:ascii="Times New Roman" w:hAnsi="Times New Roman" w:eastAsia="黑体"/>
          <w:sz w:val="20"/>
        </w:rPr>
      </w:pPr>
      <w:bookmarkStart w:id="325" w:name="_Toc152045787"/>
      <w:bookmarkStart w:id="326" w:name="_Toc144974856"/>
      <w:bookmarkStart w:id="327" w:name="_Toc17960"/>
      <w:bookmarkStart w:id="328" w:name="_Toc352691661"/>
      <w:bookmarkStart w:id="329" w:name="_Toc247527827"/>
      <w:bookmarkStart w:id="330" w:name="_Toc152042576"/>
      <w:bookmarkStart w:id="331" w:name="_Toc361508752"/>
      <w:bookmarkStart w:id="332" w:name="_Toc247514246"/>
      <w:bookmarkStart w:id="333" w:name="_Toc384308375"/>
      <w:bookmarkStart w:id="334" w:name="_Toc369531697"/>
      <w:bookmarkStart w:id="335" w:name="_Toc300835209"/>
    </w:p>
    <w:p>
      <w:pPr>
        <w:spacing w:line="440" w:lineRule="exact"/>
        <w:rPr>
          <w:rFonts w:ascii="Times New Roman" w:hAnsi="Times New Roman" w:eastAsia="黑体"/>
          <w:sz w:val="20"/>
        </w:rPr>
      </w:pPr>
      <w:r>
        <w:rPr>
          <w:rFonts w:ascii="Times New Roman" w:hAnsi="Times New Roman"/>
          <w:szCs w:val="21"/>
        </w:rPr>
        <w:br w:type="page"/>
      </w:r>
    </w:p>
    <w:bookmarkEnd w:id="325"/>
    <w:bookmarkEnd w:id="326"/>
    <w:bookmarkEnd w:id="327"/>
    <w:bookmarkEnd w:id="328"/>
    <w:bookmarkEnd w:id="329"/>
    <w:bookmarkEnd w:id="330"/>
    <w:bookmarkEnd w:id="331"/>
    <w:bookmarkEnd w:id="332"/>
    <w:bookmarkEnd w:id="333"/>
    <w:bookmarkEnd w:id="334"/>
    <w:bookmarkEnd w:id="335"/>
    <w:p>
      <w:pPr>
        <w:pStyle w:val="6"/>
        <w:jc w:val="center"/>
        <w:rPr>
          <w:rFonts w:ascii="Times New Roman" w:hAnsi="Times New Roman"/>
        </w:rPr>
      </w:pPr>
      <w:bookmarkStart w:id="336" w:name="_Toc81853823"/>
      <w:bookmarkStart w:id="337" w:name="_Toc501460788"/>
      <w:r>
        <w:rPr>
          <w:rFonts w:ascii="Times New Roman" w:hAnsi="Times New Roman"/>
        </w:rPr>
        <w:t>二、法人代表身份证明</w:t>
      </w:r>
    </w:p>
    <w:p>
      <w:pPr>
        <w:topLinePunct/>
        <w:spacing w:line="440" w:lineRule="exact"/>
        <w:ind w:firstLine="420" w:firstLineChars="200"/>
        <w:rPr>
          <w:rFonts w:ascii="Times New Roman" w:hAnsi="Times New Roman"/>
        </w:rPr>
      </w:pPr>
      <w:r>
        <w:rPr>
          <w:rFonts w:ascii="Times New Roman" w:hAnsi="Times New Roman"/>
        </w:rPr>
        <w:t>供应商名称：</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单位性质：</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地址：</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成立时间：</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topLinePunct/>
        <w:spacing w:line="440" w:lineRule="exact"/>
        <w:ind w:firstLine="420" w:firstLineChars="200"/>
        <w:rPr>
          <w:rFonts w:ascii="Times New Roman" w:hAnsi="Times New Roman"/>
        </w:rPr>
      </w:pPr>
      <w:r>
        <w:rPr>
          <w:rFonts w:ascii="Times New Roman" w:hAnsi="Times New Roman"/>
        </w:rPr>
        <w:t>经营期限：</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姓名：</w:t>
      </w:r>
      <w:r>
        <w:rPr>
          <w:rFonts w:ascii="Times New Roman" w:hAnsi="Times New Roman"/>
          <w:u w:val="single"/>
        </w:rPr>
        <w:t xml:space="preserve">          </w:t>
      </w:r>
      <w:r>
        <w:rPr>
          <w:rFonts w:ascii="Times New Roman" w:hAnsi="Times New Roman"/>
        </w:rPr>
        <w:t>性别：</w:t>
      </w:r>
      <w:r>
        <w:rPr>
          <w:rFonts w:ascii="Times New Roman" w:hAnsi="Times New Roman"/>
          <w:u w:val="single"/>
        </w:rPr>
        <w:t xml:space="preserve">         </w:t>
      </w:r>
      <w:r>
        <w:rPr>
          <w:rFonts w:ascii="Times New Roman" w:hAnsi="Times New Roman"/>
        </w:rPr>
        <w:t>年龄：</w:t>
      </w:r>
      <w:r>
        <w:rPr>
          <w:rFonts w:ascii="Times New Roman" w:hAnsi="Times New Roman"/>
          <w:u w:val="single"/>
        </w:rPr>
        <w:t xml:space="preserve">        </w:t>
      </w:r>
      <w:r>
        <w:rPr>
          <w:rFonts w:ascii="Times New Roman" w:hAnsi="Times New Roman"/>
        </w:rPr>
        <w:t>职务：</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系</w:t>
      </w:r>
      <w:r>
        <w:rPr>
          <w:rFonts w:ascii="Times New Roman" w:hAnsi="Times New Roman"/>
          <w:u w:val="single"/>
        </w:rPr>
        <w:t xml:space="preserve">                              </w:t>
      </w:r>
      <w:r>
        <w:rPr>
          <w:rFonts w:ascii="Times New Roman" w:hAnsi="Times New Roman"/>
        </w:rPr>
        <w:t>（投标人名称）的法定代表人。</w:t>
      </w:r>
    </w:p>
    <w:p>
      <w:pPr>
        <w:topLinePunct/>
        <w:spacing w:line="440" w:lineRule="exact"/>
        <w:ind w:firstLine="420" w:firstLineChars="200"/>
        <w:rPr>
          <w:rFonts w:ascii="Times New Roman" w:hAnsi="Times New Roman"/>
        </w:rPr>
      </w:pPr>
      <w:r>
        <w:rPr>
          <w:rFonts w:ascii="Times New Roman" w:hAnsi="Times New Roman"/>
        </w:rPr>
        <w:t>特此证明。</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jc w:val="right"/>
        <w:rPr>
          <w:rFonts w:ascii="Times New Roman" w:hAnsi="Times New Roman"/>
        </w:rPr>
      </w:pPr>
      <w:r>
        <w:rPr>
          <w:rFonts w:ascii="Times New Roman" w:hAnsi="Times New Roman"/>
        </w:rPr>
        <w:t>投标人：</w:t>
      </w:r>
      <w:r>
        <w:rPr>
          <w:rFonts w:ascii="Times New Roman" w:hAnsi="Times New Roman"/>
          <w:u w:val="single"/>
        </w:rPr>
        <w:t xml:space="preserve">                 </w:t>
      </w:r>
      <w:r>
        <w:rPr>
          <w:rFonts w:ascii="Times New Roman" w:hAnsi="Times New Roman"/>
        </w:rPr>
        <w:t>（盖单位章）</w:t>
      </w:r>
    </w:p>
    <w:p>
      <w:pPr>
        <w:topLinePunct/>
        <w:spacing w:line="440" w:lineRule="exact"/>
        <w:ind w:firstLine="420" w:firstLineChars="200"/>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r>
        <w:rPr>
          <w:rFonts w:ascii="Times New Roman" w:hAnsi="Times New Roman"/>
        </w:rPr>
        <w:br w:type="page"/>
      </w:r>
    </w:p>
    <w:p>
      <w:pPr>
        <w:pStyle w:val="6"/>
        <w:jc w:val="center"/>
        <w:rPr>
          <w:rFonts w:ascii="Times New Roman" w:hAnsi="Times New Roman"/>
        </w:rPr>
      </w:pPr>
      <w:r>
        <w:rPr>
          <w:rFonts w:ascii="Times New Roman" w:hAnsi="Times New Roman"/>
        </w:rPr>
        <w:t>三、授权委托书</w:t>
      </w:r>
      <w:bookmarkEnd w:id="336"/>
      <w:bookmarkEnd w:id="337"/>
    </w:p>
    <w:p>
      <w:pPr>
        <w:jc w:val="center"/>
        <w:rPr>
          <w:rFonts w:ascii="Times New Roman" w:hAnsi="Times New Roman" w:eastAsia="楷体"/>
        </w:rPr>
      </w:pPr>
      <w:r>
        <w:rPr>
          <w:rFonts w:ascii="Times New Roman" w:hAnsi="Times New Roman" w:eastAsia="楷体"/>
        </w:rPr>
        <w:t>（适用于有委托代理人的情况）</w:t>
      </w:r>
    </w:p>
    <w:p>
      <w:pPr>
        <w:spacing w:line="440" w:lineRule="exact"/>
        <w:rPr>
          <w:rFonts w:ascii="Times New Roman" w:hAnsi="Times New Roman" w:eastAsia="黑体"/>
        </w:rPr>
      </w:pPr>
    </w:p>
    <w:p>
      <w:pPr>
        <w:topLinePunct/>
        <w:spacing w:line="440" w:lineRule="exact"/>
        <w:ind w:firstLine="420" w:firstLineChars="200"/>
        <w:rPr>
          <w:rFonts w:ascii="Times New Roman" w:hAnsi="Times New Roman"/>
        </w:rPr>
      </w:pPr>
      <w:r>
        <w:rPr>
          <w:rFonts w:ascii="Times New Roman" w:hAnsi="Times New Roman"/>
        </w:rPr>
        <w:t>本人</w:t>
      </w:r>
      <w:r>
        <w:rPr>
          <w:rFonts w:ascii="Times New Roman" w:hAnsi="Times New Roman"/>
          <w:u w:val="single"/>
        </w:rPr>
        <w:t xml:space="preserve">              （姓名）</w:t>
      </w:r>
      <w:r>
        <w:rPr>
          <w:rFonts w:ascii="Times New Roman" w:hAnsi="Times New Roman"/>
        </w:rPr>
        <w:t>系</w:t>
      </w:r>
      <w:r>
        <w:rPr>
          <w:rFonts w:ascii="Times New Roman" w:hAnsi="Times New Roman"/>
          <w:u w:val="single"/>
        </w:rPr>
        <w:t xml:space="preserve">                    （供应商名称）</w:t>
      </w:r>
      <w:r>
        <w:rPr>
          <w:rFonts w:ascii="Times New Roman" w:hAnsi="Times New Roman"/>
        </w:rPr>
        <w:t>的法定代表人（单位负责人），现委托</w:t>
      </w:r>
      <w:r>
        <w:rPr>
          <w:rFonts w:ascii="Times New Roman" w:hAnsi="Times New Roman"/>
          <w:u w:val="single"/>
        </w:rPr>
        <w:t xml:space="preserve">            （姓名）</w:t>
      </w:r>
      <w:r>
        <w:rPr>
          <w:rFonts w:ascii="Times New Roman" w:hAnsi="Times New Roman"/>
        </w:rPr>
        <w:t>为我方代理人。代理人根据授权，以我方名义签署、澄清确认、递交、撤回、修改</w:t>
      </w:r>
      <w:r>
        <w:rPr>
          <w:rFonts w:ascii="Times New Roman" w:hAnsi="Times New Roman"/>
          <w:u w:val="single"/>
        </w:rPr>
        <w:t xml:space="preserve">            （项目名称）</w:t>
      </w:r>
      <w:r>
        <w:rPr>
          <w:rFonts w:ascii="Times New Roman" w:hAnsi="Times New Roman"/>
        </w:rPr>
        <w:t>询比采购项目响应文件、签订合同和处理有关事宜，其法律后果由我方承担。</w:t>
      </w:r>
    </w:p>
    <w:p>
      <w:pPr>
        <w:spacing w:line="440" w:lineRule="exact"/>
        <w:ind w:firstLine="420" w:firstLineChars="200"/>
        <w:rPr>
          <w:rFonts w:ascii="Times New Roman" w:hAnsi="Times New Roman"/>
        </w:rPr>
      </w:pPr>
      <w:r>
        <w:rPr>
          <w:rFonts w:ascii="Times New Roman" w:hAnsi="Times New Roman"/>
        </w:rPr>
        <w:t>委托期限：自本委托书签署之日起至</w:t>
      </w:r>
      <w:r>
        <w:rPr>
          <w:rFonts w:ascii="Times New Roman" w:hAnsi="Times New Roman"/>
          <w:u w:val="single"/>
        </w:rPr>
        <w:t xml:space="preserve">            （项目名称）</w:t>
      </w:r>
      <w:r>
        <w:rPr>
          <w:rFonts w:ascii="Times New Roman" w:hAnsi="Times New Roman"/>
        </w:rPr>
        <w:t>询比采购项目签订成交合同之日止。</w:t>
      </w:r>
    </w:p>
    <w:p>
      <w:pPr>
        <w:spacing w:line="440" w:lineRule="exact"/>
        <w:ind w:firstLine="420" w:firstLineChars="200"/>
        <w:rPr>
          <w:rFonts w:ascii="Times New Roman" w:hAnsi="Times New Roman"/>
        </w:rPr>
      </w:pPr>
      <w:r>
        <w:rPr>
          <w:rFonts w:ascii="Times New Roman" w:hAnsi="Times New Roman"/>
        </w:rPr>
        <w:t>代理人无转委托权。</w:t>
      </w:r>
    </w:p>
    <w:p>
      <w:pPr>
        <w:spacing w:line="440" w:lineRule="exact"/>
        <w:ind w:firstLine="420" w:firstLineChars="200"/>
        <w:rPr>
          <w:rFonts w:ascii="Times New Roman" w:hAnsi="Times New Roman"/>
        </w:rPr>
      </w:pPr>
    </w:p>
    <w:p>
      <w:pPr>
        <w:spacing w:line="440" w:lineRule="exact"/>
        <w:rPr>
          <w:rFonts w:ascii="Times New Roman" w:hAnsi="Times New Roman"/>
        </w:rPr>
      </w:pPr>
      <w:r>
        <w:rPr>
          <w:rFonts w:ascii="Times New Roman" w:hAnsi="Times New Roman"/>
        </w:rPr>
        <w:t>附：法定代表人（单位负责人）身份证复印件及委托代理人身份证复印件。</w:t>
      </w:r>
    </w:p>
    <w:p>
      <w:pPr>
        <w:spacing w:line="440" w:lineRule="exact"/>
        <w:rPr>
          <w:rFonts w:ascii="Times New Roman" w:hAnsi="Times New Roman"/>
        </w:rPr>
      </w:pPr>
    </w:p>
    <w:p>
      <w:pPr>
        <w:spacing w:line="440" w:lineRule="exact"/>
        <w:rPr>
          <w:rFonts w:ascii="Times New Roman" w:hAnsi="Times New Roman"/>
        </w:rPr>
      </w:pPr>
    </w:p>
    <w:p>
      <w:pPr>
        <w:spacing w:line="480" w:lineRule="auto"/>
        <w:ind w:firstLine="1890" w:firstLineChars="900"/>
        <w:jc w:val="left"/>
        <w:rPr>
          <w:rFonts w:ascii="Times New Roman" w:hAnsi="Times New Roman"/>
        </w:rPr>
      </w:pPr>
      <w:r>
        <w:rPr>
          <w:rFonts w:ascii="Times New Roman" w:hAnsi="Times New Roman"/>
        </w:rPr>
        <w:t>供应商：</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spacing w:line="480" w:lineRule="auto"/>
        <w:ind w:firstLine="1890" w:firstLineChars="900"/>
        <w:jc w:val="left"/>
        <w:rPr>
          <w:rFonts w:ascii="Times New Roman" w:hAnsi="Times New Roman"/>
        </w:rPr>
      </w:pPr>
      <w:r>
        <w:rPr>
          <w:rFonts w:ascii="Times New Roman" w:hAnsi="Times New Roman"/>
        </w:rPr>
        <w:t>法定代表人（单位负责人）：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u w:val="single"/>
        </w:rPr>
        <w:t>（签字或盖章）</w:t>
      </w:r>
    </w:p>
    <w:p>
      <w:pPr>
        <w:spacing w:line="480" w:lineRule="auto"/>
        <w:ind w:firstLine="1890" w:firstLineChars="9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80" w:lineRule="auto"/>
        <w:ind w:firstLine="1890" w:firstLineChars="900"/>
        <w:jc w:val="left"/>
        <w:rPr>
          <w:rFonts w:ascii="Times New Roman" w:hAnsi="Times New Roman"/>
        </w:rPr>
      </w:pPr>
      <w:r>
        <w:rPr>
          <w:rFonts w:ascii="Times New Roman" w:hAnsi="Times New Roman"/>
        </w:rPr>
        <w:t>委托代理人：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spacing w:line="480" w:lineRule="auto"/>
        <w:ind w:firstLine="1890" w:firstLineChars="9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40" w:lineRule="exact"/>
        <w:ind w:firstLine="2692" w:firstLineChars="1282"/>
        <w:rPr>
          <w:rFonts w:ascii="Times New Roman" w:hAnsi="Times New Roman"/>
        </w:rPr>
      </w:pPr>
    </w:p>
    <w:p>
      <w:pPr>
        <w:spacing w:line="440" w:lineRule="exact"/>
        <w:ind w:firstLine="4057" w:firstLineChars="193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spacing w:line="440" w:lineRule="exact"/>
        <w:ind w:firstLine="4057" w:firstLineChars="1932"/>
        <w:jc w:val="center"/>
        <w:rPr>
          <w:rFonts w:ascii="Times New Roman" w:hAnsi="Times New Roman"/>
        </w:rPr>
      </w:pPr>
      <w:r>
        <w:rPr>
          <w:rFonts w:ascii="Times New Roman" w:hAnsi="Times New Roman"/>
        </w:rPr>
        <w:br w:type="page"/>
      </w:r>
    </w:p>
    <w:p>
      <w:pPr>
        <w:pStyle w:val="6"/>
        <w:jc w:val="center"/>
        <w:rPr>
          <w:rFonts w:ascii="Times New Roman" w:hAnsi="Times New Roman"/>
        </w:rPr>
      </w:pPr>
      <w:bookmarkStart w:id="338" w:name="_Toc81853824"/>
      <w:bookmarkStart w:id="339" w:name="_Toc501460789"/>
      <w:r>
        <w:rPr>
          <w:rFonts w:ascii="Times New Roman" w:hAnsi="Times New Roman"/>
        </w:rPr>
        <w:t>四、联合体协议书</w:t>
      </w:r>
      <w:bookmarkEnd w:id="338"/>
      <w:bookmarkEnd w:id="339"/>
    </w:p>
    <w:p>
      <w:pPr>
        <w:jc w:val="center"/>
        <w:rPr>
          <w:rFonts w:ascii="Times New Roman" w:hAnsi="Times New Roman" w:eastAsia="楷体"/>
        </w:rPr>
      </w:pPr>
      <w:r>
        <w:rPr>
          <w:rFonts w:ascii="Times New Roman" w:hAnsi="Times New Roman" w:eastAsia="楷体"/>
        </w:rPr>
        <w:t>（适用于供应商组成联合体的情况）</w:t>
      </w:r>
    </w:p>
    <w:p>
      <w:pPr>
        <w:rPr>
          <w:rFonts w:ascii="Times New Roman" w:hAnsi="Times New Roman"/>
        </w:rPr>
      </w:pPr>
    </w:p>
    <w:p>
      <w:pPr>
        <w:topLinePunct/>
        <w:spacing w:line="440" w:lineRule="exact"/>
        <w:ind w:firstLine="420" w:firstLineChars="200"/>
        <w:rPr>
          <w:rFonts w:ascii="Times New Roman" w:hAnsi="Times New Roman"/>
        </w:rPr>
      </w:pPr>
      <w:r>
        <w:rPr>
          <w:rFonts w:ascii="Times New Roman" w:hAnsi="Times New Roman"/>
          <w:u w:val="single"/>
        </w:rPr>
        <w:t xml:space="preserve">                （所有成员单位名称）</w:t>
      </w:r>
      <w:r>
        <w:rPr>
          <w:rFonts w:ascii="Times New Roman" w:hAnsi="Times New Roman"/>
        </w:rPr>
        <w:t>自愿组成</w:t>
      </w:r>
      <w:r>
        <w:rPr>
          <w:rFonts w:ascii="Times New Roman" w:hAnsi="Times New Roman"/>
          <w:u w:val="single"/>
        </w:rPr>
        <w:t xml:space="preserve">        （联合体名称）</w:t>
      </w:r>
      <w:r>
        <w:rPr>
          <w:rFonts w:ascii="Times New Roman" w:hAnsi="Times New Roman"/>
        </w:rPr>
        <w:t>联合体，共同参加</w:t>
      </w:r>
      <w:r>
        <w:rPr>
          <w:rFonts w:ascii="Times New Roman" w:hAnsi="Times New Roman"/>
          <w:u w:val="single"/>
        </w:rPr>
        <w:t xml:space="preserve">              （项目名称）</w:t>
      </w:r>
      <w:r>
        <w:rPr>
          <w:rFonts w:ascii="Times New Roman" w:hAnsi="Times New Roman"/>
        </w:rPr>
        <w:t>询比活动</w:t>
      </w:r>
      <w:r>
        <w:rPr>
          <w:rFonts w:ascii="Times New Roman" w:hAnsi="Times New Roman"/>
          <w:szCs w:val="21"/>
        </w:rPr>
        <w:t>。现就组成联</w:t>
      </w:r>
      <w:r>
        <w:rPr>
          <w:rFonts w:ascii="Times New Roman" w:hAnsi="Times New Roman"/>
        </w:rPr>
        <w:t>合体事宜订立如下协议。</w:t>
      </w:r>
    </w:p>
    <w:p>
      <w:pPr>
        <w:topLinePunct/>
        <w:spacing w:line="440" w:lineRule="exact"/>
        <w:ind w:firstLine="420" w:firstLineChars="200"/>
        <w:rPr>
          <w:rFonts w:ascii="Times New Roman" w:hAnsi="Times New Roman"/>
        </w:rPr>
      </w:pPr>
      <w:r>
        <w:rPr>
          <w:rFonts w:ascii="Times New Roman" w:hAnsi="Times New Roman"/>
        </w:rPr>
        <w:t xml:space="preserve">1. </w:t>
      </w:r>
      <w:r>
        <w:rPr>
          <w:rFonts w:ascii="Times New Roman" w:hAnsi="Times New Roman"/>
          <w:u w:val="single"/>
        </w:rPr>
        <w:t xml:space="preserve">                  </w:t>
      </w:r>
      <w:r>
        <w:rPr>
          <w:rFonts w:ascii="Times New Roman" w:hAnsi="Times New Roman"/>
        </w:rPr>
        <w:t>（某成员单位名称）为</w:t>
      </w:r>
      <w:r>
        <w:rPr>
          <w:rFonts w:ascii="Times New Roman" w:hAnsi="Times New Roman"/>
          <w:u w:val="single"/>
        </w:rPr>
        <w:t xml:space="preserve">        </w:t>
      </w:r>
      <w:r>
        <w:rPr>
          <w:rFonts w:ascii="Times New Roman" w:hAnsi="Times New Roman"/>
        </w:rPr>
        <w:t>（联合体名称）牵头人。</w:t>
      </w:r>
    </w:p>
    <w:p>
      <w:pPr>
        <w:topLinePunct/>
        <w:spacing w:line="440" w:lineRule="exact"/>
        <w:ind w:firstLine="420" w:firstLineChars="200"/>
        <w:rPr>
          <w:rFonts w:ascii="Times New Roman" w:hAnsi="Times New Roman"/>
        </w:rPr>
      </w:pPr>
      <w:r>
        <w:rPr>
          <w:rFonts w:ascii="Times New Roman" w:hAnsi="Times New Roman"/>
        </w:rPr>
        <w:t>2. 联合体各成员授权牵头人代表联合体参加询比采购活动，签署文件，递交和接收相</w:t>
      </w:r>
      <w:bookmarkStart w:id="340" w:name="_Toc152042579"/>
      <w:bookmarkStart w:id="341" w:name="_Toc152045790"/>
      <w:bookmarkStart w:id="342" w:name="_Toc384308378"/>
      <w:bookmarkStart w:id="343" w:name="_Toc361508755"/>
      <w:bookmarkStart w:id="344" w:name="_Toc247514249"/>
      <w:bookmarkStart w:id="345" w:name="_Toc247527830"/>
      <w:bookmarkStart w:id="346" w:name="_Toc300835212"/>
      <w:bookmarkStart w:id="347" w:name="_Toc144974859"/>
      <w:r>
        <w:rPr>
          <w:rFonts w:ascii="Times New Roman" w:hAnsi="Times New Roman"/>
        </w:rPr>
        <w:t>关的</w:t>
      </w:r>
      <w:bookmarkStart w:id="348" w:name="_Toc369531700"/>
      <w:bookmarkStart w:id="349" w:name="_Toc352691664"/>
      <w:bookmarkStart w:id="350" w:name="_Toc7749"/>
      <w:r>
        <w:rPr>
          <w:rFonts w:ascii="Times New Roman" w:hAnsi="Times New Roman"/>
        </w:rPr>
        <w:t>资料、信息及</w:t>
      </w:r>
      <w:bookmarkEnd w:id="348"/>
      <w:bookmarkEnd w:id="349"/>
      <w:bookmarkEnd w:id="350"/>
      <w:r>
        <w:rPr>
          <w:rFonts w:ascii="Times New Roman" w:hAnsi="Times New Roman"/>
        </w:rPr>
        <w:t>指</w:t>
      </w:r>
      <w:bookmarkEnd w:id="340"/>
      <w:bookmarkEnd w:id="341"/>
      <w:bookmarkEnd w:id="342"/>
      <w:bookmarkEnd w:id="343"/>
      <w:bookmarkEnd w:id="344"/>
      <w:bookmarkEnd w:id="345"/>
      <w:bookmarkEnd w:id="346"/>
      <w:bookmarkEnd w:id="347"/>
      <w:r>
        <w:rPr>
          <w:rFonts w:ascii="Times New Roman" w:hAnsi="Times New Roman"/>
        </w:rPr>
        <w:t>示，进行合同谈判活动，负责合同实施阶段的组织和协调工作，以及处理与本采购项目有关的一切事宜。</w:t>
      </w:r>
    </w:p>
    <w:p>
      <w:pPr>
        <w:topLinePunct/>
        <w:spacing w:line="440" w:lineRule="exact"/>
        <w:ind w:firstLine="420" w:firstLineChars="200"/>
        <w:rPr>
          <w:rFonts w:ascii="Times New Roman" w:hAnsi="Times New Roman"/>
        </w:rPr>
      </w:pPr>
      <w:r>
        <w:rPr>
          <w:rFonts w:ascii="Times New Roman" w:hAnsi="Times New Roman"/>
        </w:rPr>
        <w:t>3</w:t>
      </w:r>
      <w:bookmarkStart w:id="351" w:name="_Toc152045791"/>
      <w:bookmarkStart w:id="352" w:name="_Toc369531701"/>
      <w:bookmarkStart w:id="353" w:name="_Toc300835213"/>
      <w:bookmarkStart w:id="354" w:name="_Toc144974860"/>
      <w:bookmarkStart w:id="355" w:name="_Toc27930"/>
      <w:bookmarkStart w:id="356" w:name="_Toc247527831"/>
      <w:bookmarkStart w:id="357" w:name="_Toc361508756"/>
      <w:bookmarkStart w:id="358" w:name="_Toc247514283"/>
      <w:bookmarkStart w:id="359" w:name="_Toc352691665"/>
      <w:bookmarkStart w:id="360" w:name="_Toc384308380"/>
      <w:bookmarkStart w:id="361" w:name="_Toc152042580"/>
      <w:r>
        <w:rPr>
          <w:rFonts w:ascii="Times New Roman" w:hAnsi="Times New Roman"/>
        </w:rPr>
        <w:t>. 联合体牵头人在本项目中签署的一切文件和处理</w:t>
      </w:r>
      <w:bookmarkEnd w:id="351"/>
      <w:bookmarkEnd w:id="352"/>
      <w:bookmarkEnd w:id="353"/>
      <w:bookmarkEnd w:id="354"/>
      <w:bookmarkEnd w:id="355"/>
      <w:bookmarkEnd w:id="356"/>
      <w:bookmarkEnd w:id="357"/>
      <w:bookmarkEnd w:id="358"/>
      <w:bookmarkEnd w:id="359"/>
      <w:bookmarkEnd w:id="360"/>
      <w:bookmarkEnd w:id="361"/>
      <w:r>
        <w:rPr>
          <w:rFonts w:ascii="Times New Roman" w:hAnsi="Times New Roman"/>
        </w:rPr>
        <w:t>的一切事宜，联合体各成员均予以承认。联合体各成员将严格按照采购文件、响应文件和合同的要求全面履行义务，并向采购人承担连带责任。</w:t>
      </w:r>
    </w:p>
    <w:p>
      <w:pPr>
        <w:topLinePunct/>
        <w:spacing w:line="440" w:lineRule="exact"/>
        <w:ind w:firstLine="420" w:firstLineChars="200"/>
        <w:rPr>
          <w:rFonts w:ascii="Times New Roman" w:hAnsi="Times New Roman"/>
        </w:rPr>
      </w:pPr>
      <w:r>
        <w:rPr>
          <w:rFonts w:ascii="Times New Roman" w:hAnsi="Times New Roman"/>
        </w:rPr>
        <w:t>4.联合体各方承诺不以自己名义单独或参加其他联合体参与本询比采购项目。</w:t>
      </w:r>
    </w:p>
    <w:p>
      <w:pPr>
        <w:topLinePunct/>
        <w:spacing w:line="440" w:lineRule="exact"/>
        <w:ind w:firstLine="420" w:firstLineChars="200"/>
        <w:jc w:val="left"/>
        <w:rPr>
          <w:rFonts w:ascii="Times New Roman" w:hAnsi="Times New Roman"/>
        </w:rPr>
      </w:pPr>
      <w:r>
        <w:rPr>
          <w:rFonts w:ascii="Times New Roman" w:hAnsi="Times New Roman"/>
        </w:rPr>
        <w:t>5. 联合体各成员单位内部的职责分工如下（详细描述各方责任、义务、分工）：</w:t>
      </w:r>
    </w:p>
    <w:p>
      <w:pPr>
        <w:topLinePunct/>
        <w:spacing w:line="440" w:lineRule="exact"/>
        <w:ind w:firstLine="420" w:firstLineChars="200"/>
        <w:jc w:val="left"/>
        <w:rPr>
          <w:rFonts w:ascii="Times New Roman" w:hAnsi="Times New Roman"/>
        </w:rPr>
      </w:pPr>
      <w:r>
        <w:rPr>
          <w:rFonts w:ascii="Times New Roman" w:hAnsi="Times New Roman"/>
          <w:u w:val="single"/>
        </w:rPr>
        <w:t xml:space="preserve">                                       </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6. 本协议书自所有成员单位法定代表人（单位负责人）或其委托代理人签字并加盖单位章之日起生效，</w:t>
      </w:r>
      <w:r>
        <w:rPr>
          <w:rFonts w:ascii="Times New Roman" w:hAnsi="Times New Roman"/>
          <w:szCs w:val="21"/>
        </w:rPr>
        <w:t>合同履行完毕后自动失效</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7. 本协议书一式</w:t>
      </w:r>
      <w:r>
        <w:rPr>
          <w:rFonts w:ascii="Times New Roman" w:hAnsi="Times New Roman"/>
          <w:u w:val="single"/>
        </w:rPr>
        <w:t xml:space="preserve">    </w:t>
      </w:r>
      <w:r>
        <w:rPr>
          <w:rFonts w:ascii="Times New Roman" w:hAnsi="Times New Roman"/>
        </w:rPr>
        <w:t>份，联合体成员和采购人各执一份。</w:t>
      </w:r>
    </w:p>
    <w:p>
      <w:pPr>
        <w:topLinePunct/>
        <w:spacing w:line="440" w:lineRule="exact"/>
        <w:ind w:firstLine="420" w:firstLineChars="200"/>
        <w:rPr>
          <w:rFonts w:ascii="Times New Roman" w:hAnsi="Times New Roman" w:eastAsia="楷体"/>
        </w:rPr>
      </w:pPr>
      <w:r>
        <w:rPr>
          <w:rFonts w:ascii="Times New Roman" w:hAnsi="Times New Roman" w:eastAsia="楷体"/>
        </w:rPr>
        <w:t>（注：本协议书由委托代理人签字的，应附授权委托书）</w:t>
      </w:r>
    </w:p>
    <w:p>
      <w:pPr>
        <w:topLinePunct/>
        <w:spacing w:line="440" w:lineRule="exact"/>
        <w:rPr>
          <w:rFonts w:ascii="Times New Roman" w:hAnsi="Times New Roman"/>
        </w:rPr>
      </w:pPr>
    </w:p>
    <w:p>
      <w:pPr>
        <w:topLinePunct/>
        <w:spacing w:line="480" w:lineRule="auto"/>
        <w:ind w:firstLine="1890" w:firstLineChars="900"/>
        <w:rPr>
          <w:rFonts w:ascii="Times New Roman" w:hAnsi="Times New Roman"/>
        </w:rPr>
      </w:pPr>
      <w:r>
        <w:rPr>
          <w:rFonts w:ascii="Times New Roman" w:hAnsi="Times New Roman"/>
        </w:rPr>
        <w:t>联合体牵头人名称：</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topLinePunct/>
        <w:spacing w:line="480" w:lineRule="auto"/>
        <w:ind w:firstLine="1890" w:firstLineChars="90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80" w:lineRule="auto"/>
        <w:ind w:firstLine="1890" w:firstLineChars="90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40" w:lineRule="exact"/>
        <w:ind w:firstLine="3700" w:firstLineChars="1762"/>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r>
        <w:rPr>
          <w:rFonts w:ascii="Times New Roman" w:hAnsi="Times New Roman"/>
        </w:rPr>
        <w:br w:type="page"/>
      </w:r>
    </w:p>
    <w:p>
      <w:pPr>
        <w:pStyle w:val="6"/>
        <w:jc w:val="center"/>
        <w:rPr>
          <w:rFonts w:ascii="Times New Roman" w:hAnsi="Times New Roman"/>
        </w:rPr>
      </w:pPr>
      <w:bookmarkStart w:id="362" w:name="_Toc501460790"/>
      <w:bookmarkStart w:id="363" w:name="_Toc81853825"/>
      <w:r>
        <w:rPr>
          <w:rFonts w:ascii="Times New Roman" w:hAnsi="Times New Roman"/>
        </w:rPr>
        <w:t>五、</w:t>
      </w:r>
      <w:bookmarkEnd w:id="362"/>
      <w:bookmarkStart w:id="364" w:name="_Toc247527832"/>
      <w:bookmarkStart w:id="365" w:name="_Toc369531702"/>
      <w:bookmarkStart w:id="366" w:name="_Toc152045792"/>
      <w:bookmarkStart w:id="367" w:name="_Toc300835214"/>
      <w:bookmarkStart w:id="368" w:name="_Toc384308381"/>
      <w:bookmarkStart w:id="369" w:name="_Toc144974861"/>
      <w:bookmarkStart w:id="370" w:name="_Toc152042581"/>
      <w:bookmarkStart w:id="371" w:name="_Toc352691666"/>
      <w:bookmarkStart w:id="372" w:name="_Toc247514284"/>
      <w:bookmarkStart w:id="373" w:name="_Toc13469"/>
      <w:bookmarkStart w:id="374" w:name="_Toc361508757"/>
      <w:r>
        <w:rPr>
          <w:rFonts w:ascii="Times New Roman" w:hAnsi="Times New Roman"/>
        </w:rPr>
        <w:t>响应保证金</w:t>
      </w:r>
      <w:bookmarkEnd w:id="363"/>
    </w:p>
    <w:p>
      <w:pPr>
        <w:jc w:val="center"/>
        <w:rPr>
          <w:rFonts w:ascii="Times New Roman" w:hAnsi="Times New Roman" w:eastAsia="楷体"/>
        </w:rPr>
      </w:pPr>
      <w:r>
        <w:rPr>
          <w:rFonts w:ascii="Times New Roman" w:hAnsi="Times New Roman" w:eastAsia="楷体"/>
        </w:rPr>
        <w:t>（适用于递交响应保证金的情况）</w:t>
      </w:r>
    </w:p>
    <w:p>
      <w:pPr>
        <w:rPr>
          <w:rFonts w:ascii="Times New Roman" w:hAnsi="Times New Roman"/>
        </w:rPr>
      </w:pPr>
    </w:p>
    <w:p>
      <w:pPr>
        <w:spacing w:line="440" w:lineRule="exact"/>
        <w:ind w:firstLine="420" w:firstLineChars="200"/>
        <w:rPr>
          <w:rFonts w:ascii="Times New Roman" w:hAnsi="Times New Roman"/>
          <w:szCs w:val="21"/>
        </w:rPr>
      </w:pPr>
      <w:r>
        <w:rPr>
          <w:rFonts w:ascii="Times New Roman" w:hAnsi="Times New Roman"/>
          <w:szCs w:val="21"/>
        </w:rPr>
        <w:t>1、采用转账方式的，供应商应在此提供转账凭证复印件；</w:t>
      </w:r>
    </w:p>
    <w:p>
      <w:pPr>
        <w:spacing w:line="440" w:lineRule="exact"/>
        <w:ind w:firstLine="420" w:firstLineChars="200"/>
        <w:rPr>
          <w:rFonts w:ascii="Times New Roman" w:hAnsi="Times New Roman"/>
          <w:szCs w:val="21"/>
        </w:rPr>
      </w:pPr>
      <w:r>
        <w:rPr>
          <w:rFonts w:ascii="Times New Roman" w:hAnsi="Times New Roman"/>
          <w:szCs w:val="21"/>
        </w:rPr>
        <w:t>2、采用支票、汇票等方式的，供应商应在此提供支票、汇票等的复印件，原件应单独递交。</w:t>
      </w:r>
    </w:p>
    <w:p>
      <w:pPr>
        <w:spacing w:line="440" w:lineRule="exact"/>
        <w:ind w:firstLine="420" w:firstLineChars="200"/>
        <w:rPr>
          <w:rFonts w:ascii="Times New Roman" w:hAnsi="Times New Roman"/>
          <w:szCs w:val="21"/>
        </w:rPr>
      </w:pPr>
      <w:r>
        <w:rPr>
          <w:rFonts w:ascii="Times New Roman" w:hAnsi="Times New Roman"/>
          <w:szCs w:val="21"/>
        </w:rPr>
        <w:t>3、采用银行或担保机构担保函方式的，格式如下：</w:t>
      </w:r>
    </w:p>
    <w:p>
      <w:pPr>
        <w:spacing w:line="440" w:lineRule="exact"/>
        <w:rPr>
          <w:rFonts w:ascii="Times New Roman" w:hAnsi="Times New Roman"/>
          <w:sz w:val="24"/>
        </w:rPr>
      </w:pPr>
    </w:p>
    <w:bookmarkEnd w:id="364"/>
    <w:bookmarkEnd w:id="365"/>
    <w:bookmarkEnd w:id="366"/>
    <w:bookmarkEnd w:id="367"/>
    <w:bookmarkEnd w:id="368"/>
    <w:bookmarkEnd w:id="369"/>
    <w:bookmarkEnd w:id="370"/>
    <w:bookmarkEnd w:id="371"/>
    <w:bookmarkEnd w:id="372"/>
    <w:bookmarkEnd w:id="373"/>
    <w:bookmarkEnd w:id="374"/>
    <w:p>
      <w:pPr>
        <w:spacing w:line="440" w:lineRule="exact"/>
        <w:rPr>
          <w:rFonts w:ascii="Times New Roman" w:hAnsi="Times New Roman"/>
        </w:rPr>
      </w:pP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（采购人名称）</w:t>
      </w:r>
      <w:r>
        <w:rPr>
          <w:rFonts w:ascii="Times New Roman" w:hAnsi="Times New Roman"/>
          <w:szCs w:val="21"/>
        </w:rPr>
        <w:t>：</w:t>
      </w:r>
    </w:p>
    <w:p>
      <w:pPr>
        <w:spacing w:line="440" w:lineRule="exact"/>
        <w:rPr>
          <w:rFonts w:ascii="Times New Roman" w:hAnsi="Times New Roman"/>
          <w:szCs w:val="21"/>
        </w:rPr>
      </w:pPr>
    </w:p>
    <w:p>
      <w:pPr>
        <w:spacing w:line="400" w:lineRule="exact"/>
        <w:ind w:firstLine="315" w:firstLineChars="150"/>
        <w:rPr>
          <w:rFonts w:ascii="Times New Roman" w:hAnsi="Times New Roman"/>
          <w:szCs w:val="21"/>
        </w:rPr>
      </w:pPr>
      <w:r>
        <w:rPr>
          <w:rFonts w:ascii="Times New Roman" w:hAnsi="Times New Roman"/>
        </w:rPr>
        <w:t>鉴于</w:t>
      </w:r>
      <w:r>
        <w:rPr>
          <w:rFonts w:ascii="Times New Roman" w:hAnsi="Times New Roman"/>
          <w:u w:val="single"/>
        </w:rPr>
        <w:t xml:space="preserve">               </w:t>
      </w:r>
      <w:r>
        <w:rPr>
          <w:rFonts w:ascii="Times New Roman" w:hAnsi="Times New Roman"/>
          <w:szCs w:val="21"/>
          <w:u w:val="single"/>
        </w:rPr>
        <w:t>（供应商名称）</w:t>
      </w:r>
      <w:r>
        <w:rPr>
          <w:rFonts w:ascii="Times New Roman" w:hAnsi="Times New Roman"/>
          <w:szCs w:val="21"/>
        </w:rPr>
        <w:t>（以下</w:t>
      </w:r>
      <w:r>
        <w:rPr>
          <w:rFonts w:ascii="Times New Roman" w:hAnsi="Times New Roman"/>
        </w:rPr>
        <w:t>称“供应商”）于</w:t>
      </w: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日参加</w:t>
      </w:r>
      <w:r>
        <w:rPr>
          <w:rFonts w:ascii="Times New Roman" w:hAnsi="Times New Roman"/>
          <w:u w:val="single"/>
        </w:rPr>
        <w:t xml:space="preserve">                 （项目名称）</w:t>
      </w:r>
      <w:r>
        <w:rPr>
          <w:rFonts w:ascii="Times New Roman" w:hAnsi="Times New Roman"/>
        </w:rPr>
        <w:t>询比采购活动</w:t>
      </w:r>
      <w:r>
        <w:rPr>
          <w:rFonts w:ascii="Times New Roman" w:hAnsi="Times New Roman"/>
          <w:szCs w:val="21"/>
        </w:rPr>
        <w:t>，</w:t>
      </w:r>
      <w:r>
        <w:rPr>
          <w:rFonts w:ascii="Times New Roman" w:hAnsi="Times New Roman"/>
          <w:u w:val="single"/>
        </w:rPr>
        <w:t xml:space="preserve">          </w:t>
      </w:r>
      <w:r>
        <w:rPr>
          <w:rFonts w:ascii="Times New Roman" w:hAnsi="Times New Roman"/>
          <w:szCs w:val="21"/>
          <w:u w:val="single"/>
        </w:rPr>
        <w:t>（担保人名称）</w:t>
      </w:r>
      <w:r>
        <w:rPr>
          <w:rFonts w:ascii="Times New Roman" w:hAnsi="Times New Roman"/>
          <w:szCs w:val="21"/>
        </w:rPr>
        <w:t>（以下称“我方”）无条件地、不可撤销地保证：若</w:t>
      </w:r>
      <w:r>
        <w:rPr>
          <w:rFonts w:ascii="Times New Roman" w:hAnsi="Times New Roman"/>
        </w:rPr>
        <w:t>供应商在响应文件有效期内</w:t>
      </w:r>
      <w:r>
        <w:rPr>
          <w:rFonts w:ascii="Times New Roman" w:hAnsi="Times New Roman"/>
          <w:szCs w:val="21"/>
        </w:rPr>
        <w:t>撤销响应文件，或成交后无正当理由不与采购人订立合同，或在签订合同时向采购人提出附加条件，或不按照采购文件要求递交履约保证金，或者</w:t>
      </w:r>
      <w:r>
        <w:rPr>
          <w:rFonts w:ascii="Times New Roman" w:hAnsi="Times New Roman"/>
        </w:rPr>
        <w:t>发生采购文件明确规定可以</w:t>
      </w:r>
      <w:r>
        <w:rPr>
          <w:rFonts w:ascii="Times New Roman" w:hAnsi="Times New Roman"/>
          <w:szCs w:val="21"/>
        </w:rPr>
        <w:t>不予退还</w:t>
      </w:r>
      <w:r>
        <w:rPr>
          <w:rFonts w:ascii="Times New Roman" w:hAnsi="Times New Roman"/>
        </w:rPr>
        <w:t>响应保证金的其他情形</w:t>
      </w:r>
      <w:r>
        <w:rPr>
          <w:rFonts w:ascii="Times New Roman" w:hAnsi="Times New Roman"/>
          <w:szCs w:val="21"/>
        </w:rPr>
        <w:t>，我方承担保证责任。收到你方书面通知后，我方在7日内向你方无条件支付人民币（大写）</w:t>
      </w:r>
      <w:r>
        <w:rPr>
          <w:rFonts w:ascii="Times New Roman" w:hAnsi="Times New Roman"/>
          <w:u w:val="single"/>
        </w:rPr>
        <w:t xml:space="preserve">            </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本保函在响应文件有效期内保持有效。要求我方承担保证责任的通知应在响应文件有效期内送达我方。</w:t>
      </w:r>
    </w:p>
    <w:p>
      <w:pPr>
        <w:spacing w:line="440" w:lineRule="exact"/>
        <w:rPr>
          <w:rFonts w:ascii="Times New Roman" w:hAnsi="Times New Roman"/>
          <w:szCs w:val="21"/>
        </w:rPr>
      </w:pPr>
    </w:p>
    <w:p>
      <w:pPr>
        <w:spacing w:line="440" w:lineRule="exact"/>
        <w:rPr>
          <w:rFonts w:ascii="Times New Roman" w:hAnsi="Times New Roman"/>
          <w:szCs w:val="21"/>
        </w:rPr>
      </w:pPr>
    </w:p>
    <w:p>
      <w:pPr>
        <w:spacing w:line="440" w:lineRule="exact"/>
        <w:ind w:firstLine="3208" w:firstLineChars="1528"/>
        <w:jc w:val="right"/>
        <w:rPr>
          <w:rFonts w:ascii="Times New Roman" w:hAnsi="Times New Roman"/>
          <w:szCs w:val="21"/>
        </w:rPr>
      </w:pPr>
    </w:p>
    <w:p>
      <w:pPr>
        <w:spacing w:line="440" w:lineRule="exact"/>
        <w:ind w:firstLine="2520" w:firstLineChars="1200"/>
        <w:jc w:val="left"/>
        <w:rPr>
          <w:rFonts w:ascii="Times New Roman" w:hAnsi="Times New Roman"/>
          <w:szCs w:val="21"/>
        </w:rPr>
      </w:pPr>
      <w:r>
        <w:rPr>
          <w:rFonts w:ascii="Times New Roman" w:hAnsi="Times New Roman"/>
          <w:szCs w:val="21"/>
        </w:rPr>
        <w:t>担保人名称：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520" w:firstLineChars="1200"/>
        <w:jc w:val="left"/>
        <w:rPr>
          <w:rFonts w:ascii="Times New Roman" w:hAnsi="Times New Roman"/>
          <w:szCs w:val="21"/>
          <w:u w:val="single"/>
        </w:rPr>
      </w:pPr>
      <w:r>
        <w:rPr>
          <w:rFonts w:ascii="Times New Roman" w:hAnsi="Times New Roman"/>
          <w:szCs w:val="21"/>
        </w:rPr>
        <w:t>地     址：</w:t>
      </w:r>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u w:val="single"/>
        </w:rPr>
      </w:pPr>
      <w:r>
        <w:rPr>
          <w:rFonts w:ascii="Times New Roman" w:hAnsi="Times New Roman"/>
          <w:szCs w:val="21"/>
        </w:rPr>
        <w:t>邮政编码：</w:t>
      </w:r>
      <w:bookmarkStart w:id="375" w:name="_Toc361508758"/>
      <w:bookmarkStart w:id="376" w:name="_Toc369531703"/>
      <w:bookmarkStart w:id="377" w:name="_Toc22972"/>
      <w:bookmarkStart w:id="378" w:name="_Toc352691667"/>
      <w:bookmarkStart w:id="379" w:name="_Toc384308382"/>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rPr>
      </w:pPr>
      <w:r>
        <w:rPr>
          <w:rFonts w:ascii="Times New Roman" w:hAnsi="Times New Roman"/>
          <w:szCs w:val="21"/>
        </w:rPr>
        <w:t>电</w:t>
      </w:r>
      <w:bookmarkEnd w:id="375"/>
      <w:bookmarkEnd w:id="376"/>
      <w:bookmarkEnd w:id="377"/>
      <w:bookmarkEnd w:id="378"/>
      <w:bookmarkEnd w:id="379"/>
      <w:r>
        <w:rPr>
          <w:rFonts w:ascii="Times New Roman" w:hAnsi="Times New Roman"/>
          <w:szCs w:val="21"/>
        </w:rPr>
        <w:t xml:space="preserve">     话：</w:t>
      </w:r>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3523" w:firstLineChars="1678"/>
        <w:jc w:val="right"/>
        <w:rPr>
          <w:rFonts w:ascii="Times New Roman" w:hAnsi="Times New Roman"/>
          <w:u w:val="single"/>
        </w:rPr>
      </w:pPr>
    </w:p>
    <w:p>
      <w:pPr>
        <w:topLinePunct/>
        <w:spacing w:line="440" w:lineRule="exact"/>
        <w:ind w:firstLine="4435" w:firstLineChars="211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bookmarkStart w:id="380" w:name="_Toc81853826"/>
      <w:bookmarkStart w:id="381" w:name="_Toc501460791"/>
      <w:r>
        <w:rPr>
          <w:rFonts w:ascii="Times New Roman" w:hAnsi="Times New Roman"/>
        </w:rPr>
        <w:br w:type="page"/>
      </w:r>
    </w:p>
    <w:p>
      <w:pPr>
        <w:pStyle w:val="6"/>
        <w:jc w:val="center"/>
        <w:rPr>
          <w:rFonts w:ascii="Times New Roman" w:hAnsi="Times New Roman"/>
        </w:rPr>
      </w:pPr>
      <w:r>
        <w:rPr>
          <w:rFonts w:ascii="Times New Roman" w:hAnsi="Times New Roman"/>
        </w:rPr>
        <w:t>六、商务和技术偏差表</w:t>
      </w:r>
      <w:bookmarkEnd w:id="380"/>
      <w:bookmarkEnd w:id="381"/>
    </w:p>
    <w:tbl>
      <w:tblPr>
        <w:tblStyle w:val="30"/>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968"/>
        <w:gridCol w:w="2705"/>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序号</w:t>
            </w:r>
          </w:p>
        </w:tc>
        <w:tc>
          <w:tcPr>
            <w:tcW w:w="2968"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采购文件章节及条款号</w:t>
            </w:r>
          </w:p>
        </w:tc>
        <w:tc>
          <w:tcPr>
            <w:tcW w:w="270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响应文件章节及条款号</w:t>
            </w:r>
          </w:p>
        </w:tc>
        <w:tc>
          <w:tcPr>
            <w:tcW w:w="1624"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1</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2</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3</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4</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5</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bl>
    <w:p>
      <w:pPr>
        <w:spacing w:line="440" w:lineRule="exact"/>
        <w:ind w:firstLine="422" w:firstLineChars="200"/>
        <w:rPr>
          <w:rFonts w:ascii="Times New Roman" w:hAnsi="Times New Roman"/>
          <w:b/>
          <w:bCs/>
          <w:szCs w:val="21"/>
        </w:rPr>
      </w:pPr>
      <w:r>
        <w:rPr>
          <w:rFonts w:ascii="Times New Roman" w:hAnsi="Times New Roman"/>
          <w:b/>
          <w:bCs/>
          <w:szCs w:val="21"/>
        </w:rPr>
        <w:t>供应商保证：除商务和技术偏差表列出的偏差外，供应商响应采购文件的全部要求。</w:t>
      </w:r>
    </w:p>
    <w:p>
      <w:pPr>
        <w:spacing w:line="440" w:lineRule="exact"/>
        <w:jc w:val="center"/>
        <w:rPr>
          <w:rFonts w:ascii="Times New Roman" w:hAnsi="Times New Roman" w:eastAsia="黑体"/>
          <w:sz w:val="27"/>
          <w:szCs w:val="27"/>
        </w:rPr>
      </w:pPr>
      <w:r>
        <w:rPr>
          <w:rFonts w:ascii="Times New Roman" w:hAnsi="Times New Roman" w:eastAsia="黑体"/>
          <w:sz w:val="20"/>
        </w:rPr>
        <w:br w:type="page"/>
      </w:r>
    </w:p>
    <w:p>
      <w:pPr>
        <w:pStyle w:val="6"/>
        <w:jc w:val="center"/>
        <w:rPr>
          <w:rFonts w:ascii="Times New Roman" w:hAnsi="Times New Roman"/>
        </w:rPr>
      </w:pPr>
      <w:bookmarkStart w:id="382" w:name="_Toc81853827"/>
      <w:bookmarkStart w:id="383" w:name="_Toc485218079"/>
      <w:bookmarkStart w:id="384" w:name="_Toc501460792"/>
      <w:bookmarkStart w:id="385" w:name="_Toc361508760"/>
      <w:r>
        <w:rPr>
          <w:rFonts w:ascii="Times New Roman" w:hAnsi="Times New Roman"/>
        </w:rPr>
        <w:t>七、报价表</w:t>
      </w:r>
      <w:bookmarkEnd w:id="382"/>
    </w:p>
    <w:p>
      <w:pPr>
        <w:rPr>
          <w:rFonts w:ascii="Times New Roman" w:hAnsi="Times New Roman"/>
        </w:rPr>
      </w:pPr>
    </w:p>
    <w:p>
      <w:pPr>
        <w:pStyle w:val="46"/>
        <w:rPr>
          <w:rFonts w:cs="Times New Roman"/>
        </w:rPr>
      </w:pPr>
      <w:bookmarkStart w:id="386" w:name="_Toc152045775"/>
      <w:bookmarkStart w:id="387" w:name="_Toc152042557"/>
      <w:bookmarkStart w:id="388" w:name="_Toc152042558"/>
      <w:bookmarkStart w:id="389" w:name="_Toc152045776"/>
      <w:bookmarkStart w:id="390" w:name="_Toc144974838"/>
      <w:bookmarkStart w:id="391" w:name="_Toc144974837"/>
      <w:r>
        <w:rPr>
          <w:rFonts w:cs="Times New Roman"/>
        </w:rPr>
        <w:br w:type="page"/>
      </w:r>
    </w:p>
    <w:bookmarkEnd w:id="383"/>
    <w:bookmarkEnd w:id="384"/>
    <w:bookmarkEnd w:id="386"/>
    <w:bookmarkEnd w:id="387"/>
    <w:bookmarkEnd w:id="388"/>
    <w:bookmarkEnd w:id="389"/>
    <w:bookmarkEnd w:id="390"/>
    <w:bookmarkEnd w:id="391"/>
    <w:p>
      <w:pPr>
        <w:pStyle w:val="6"/>
        <w:jc w:val="center"/>
        <w:rPr>
          <w:rFonts w:ascii="Times New Roman" w:hAnsi="Times New Roman"/>
        </w:rPr>
      </w:pPr>
      <w:bookmarkStart w:id="392" w:name="_Toc81853830"/>
      <w:r>
        <w:rPr>
          <w:rFonts w:ascii="Times New Roman" w:hAnsi="Times New Roman"/>
        </w:rPr>
        <w:t>八、资格审查资料</w:t>
      </w:r>
      <w:bookmarkEnd w:id="392"/>
    </w:p>
    <w:p>
      <w:pPr>
        <w:snapToGrid w:val="0"/>
        <w:spacing w:line="360" w:lineRule="auto"/>
        <w:ind w:firstLine="420" w:firstLineChars="200"/>
        <w:rPr>
          <w:rFonts w:ascii="Times New Roman" w:hAnsi="Times New Roman"/>
        </w:rPr>
      </w:pPr>
      <w:r>
        <w:rPr>
          <w:rFonts w:ascii="Times New Roman" w:hAnsi="Times New Roman"/>
        </w:rPr>
        <w:t>供应商应根据采购文件提供资格证明及相关资质证明材料。</w:t>
      </w:r>
    </w:p>
    <w:bookmarkEnd w:id="385"/>
    <w:p>
      <w:pPr>
        <w:spacing w:line="440" w:lineRule="exact"/>
        <w:rPr>
          <w:rFonts w:ascii="Times New Roman" w:hAnsi="Times New Roman"/>
        </w:rPr>
      </w:pPr>
      <w:bookmarkStart w:id="393" w:name="_Toc501460802"/>
      <w:bookmarkStart w:id="394" w:name="_Toc300835229"/>
      <w:bookmarkStart w:id="395" w:name="_Toc352703741"/>
      <w:r>
        <w:rPr>
          <w:rFonts w:ascii="Times New Roman" w:hAnsi="Times New Roman"/>
        </w:rPr>
        <w:br w:type="page"/>
      </w:r>
    </w:p>
    <w:bookmarkEnd w:id="393"/>
    <w:bookmarkEnd w:id="394"/>
    <w:bookmarkEnd w:id="395"/>
    <w:p>
      <w:pPr>
        <w:pStyle w:val="6"/>
        <w:jc w:val="center"/>
        <w:rPr>
          <w:rFonts w:ascii="Times New Roman" w:hAnsi="Times New Roman"/>
        </w:rPr>
      </w:pPr>
      <w:bookmarkStart w:id="396" w:name="_Toc81853846"/>
      <w:bookmarkStart w:id="397" w:name="_Toc501460803"/>
      <w:r>
        <w:rPr>
          <w:rFonts w:ascii="Times New Roman" w:hAnsi="Times New Roman"/>
        </w:rPr>
        <w:t>九、响应方案</w:t>
      </w:r>
      <w:bookmarkEnd w:id="396"/>
    </w:p>
    <w:p>
      <w:pPr>
        <w:tabs>
          <w:tab w:val="left" w:pos="720"/>
        </w:tabs>
        <w:spacing w:line="440" w:lineRule="exact"/>
        <w:ind w:firstLine="420" w:firstLineChars="200"/>
        <w:jc w:val="left"/>
        <w:rPr>
          <w:rFonts w:ascii="Times New Roman" w:hAnsi="Times New Roman"/>
          <w:szCs w:val="21"/>
          <w:lang w:bidi="ar"/>
        </w:rPr>
      </w:pPr>
      <w:r>
        <w:rPr>
          <w:rFonts w:ascii="Times New Roman" w:hAnsi="Times New Roman"/>
          <w:szCs w:val="21"/>
          <w:lang w:bidi="ar"/>
        </w:rPr>
        <w:t>供应商根据采购文件要求编制响应方案。</w:t>
      </w:r>
    </w:p>
    <w:bookmarkEnd w:id="397"/>
    <w:p>
      <w:pPr>
        <w:spacing w:line="400" w:lineRule="exact"/>
        <w:jc w:val="center"/>
        <w:rPr>
          <w:rFonts w:ascii="Times New Roman" w:hAnsi="Times New Roman"/>
        </w:rPr>
      </w:pPr>
    </w:p>
    <w:p>
      <w:pPr>
        <w:rPr>
          <w:rFonts w:ascii="Times New Roman" w:hAnsi="Times New Roman"/>
        </w:rPr>
      </w:pPr>
      <w:r>
        <w:rPr>
          <w:rFonts w:ascii="Times New Roman" w:hAnsi="Times New Roman"/>
        </w:rPr>
        <w:br w:type="page"/>
      </w:r>
    </w:p>
    <w:p>
      <w:pPr>
        <w:pStyle w:val="6"/>
        <w:jc w:val="center"/>
        <w:rPr>
          <w:rFonts w:ascii="Times New Roman" w:hAnsi="Times New Roman"/>
        </w:rPr>
      </w:pPr>
      <w:bookmarkStart w:id="398" w:name="_Toc81853854"/>
      <w:r>
        <w:rPr>
          <w:rFonts w:ascii="Times New Roman" w:hAnsi="Times New Roman"/>
        </w:rPr>
        <w:t>十、其他资料</w:t>
      </w:r>
      <w:bookmarkEnd w:id="398"/>
    </w:p>
    <w:p>
      <w:pPr>
        <w:pStyle w:val="13"/>
        <w:rPr>
          <w:rFonts w:ascii="Times New Roman" w:hAnsi="Times New Roman"/>
        </w:rPr>
      </w:pPr>
      <w:r>
        <w:rPr>
          <w:rFonts w:ascii="Times New Roman" w:hAnsi="Times New Roman"/>
        </w:rPr>
        <w:t>供应商需递交的其他资料。</w:t>
      </w:r>
    </w:p>
    <w:sectPr>
      <w:footerReference r:id="rId4" w:type="default"/>
      <w:footnotePr>
        <w:numFmt w:val="decimalEnclosedCircleChinese"/>
      </w:footnotePr>
      <w:pgSz w:w="11906" w:h="16838"/>
      <w:pgMar w:top="1440" w:right="1803" w:bottom="1440" w:left="1803" w:header="720" w:footer="720" w:gutter="0"/>
      <w:pgNumType w:start="1"/>
      <w:cols w:space="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 PAGE   \* MERGEFORMAT </w:instrText>
    </w:r>
    <w:r>
      <w:fldChar w:fldCharType="separate"/>
    </w:r>
    <w:r>
      <w:rPr>
        <w:lang w:val="zh-CN"/>
      </w:rPr>
      <w:t>24</w:t>
    </w:r>
    <w:r>
      <w:rPr>
        <w:lang w:val="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noPunctuationKerning w:val="1"/>
  <w:characterSpacingControl w:val="compressPunctuation"/>
  <w:doNotValidateAgainstSchema/>
  <w:doNotDemarcateInvalidXml/>
  <w:footnotePr>
    <w:numFmt w:val="decimalEnclosedCircleChines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DA4"/>
    <w:rsid w:val="00002A60"/>
    <w:rsid w:val="00003391"/>
    <w:rsid w:val="00004603"/>
    <w:rsid w:val="000049FE"/>
    <w:rsid w:val="00007319"/>
    <w:rsid w:val="000106AE"/>
    <w:rsid w:val="00010B53"/>
    <w:rsid w:val="0001111F"/>
    <w:rsid w:val="00011B6F"/>
    <w:rsid w:val="00011F85"/>
    <w:rsid w:val="000122C9"/>
    <w:rsid w:val="00012703"/>
    <w:rsid w:val="0001485E"/>
    <w:rsid w:val="00014D4E"/>
    <w:rsid w:val="0002193F"/>
    <w:rsid w:val="00021BFE"/>
    <w:rsid w:val="0002369F"/>
    <w:rsid w:val="000250D6"/>
    <w:rsid w:val="00025ACC"/>
    <w:rsid w:val="00025EC4"/>
    <w:rsid w:val="00026171"/>
    <w:rsid w:val="00027C97"/>
    <w:rsid w:val="000303E1"/>
    <w:rsid w:val="000317DA"/>
    <w:rsid w:val="00033C1C"/>
    <w:rsid w:val="000351AE"/>
    <w:rsid w:val="000352F4"/>
    <w:rsid w:val="000355DB"/>
    <w:rsid w:val="00036515"/>
    <w:rsid w:val="00036A67"/>
    <w:rsid w:val="00043778"/>
    <w:rsid w:val="00043A3B"/>
    <w:rsid w:val="00043DEC"/>
    <w:rsid w:val="000442E6"/>
    <w:rsid w:val="000465F5"/>
    <w:rsid w:val="00046F0D"/>
    <w:rsid w:val="000477B3"/>
    <w:rsid w:val="0004782B"/>
    <w:rsid w:val="00050340"/>
    <w:rsid w:val="00050D09"/>
    <w:rsid w:val="00051718"/>
    <w:rsid w:val="00051E22"/>
    <w:rsid w:val="000533D5"/>
    <w:rsid w:val="00054896"/>
    <w:rsid w:val="00056461"/>
    <w:rsid w:val="00056867"/>
    <w:rsid w:val="00060236"/>
    <w:rsid w:val="0006279D"/>
    <w:rsid w:val="00062AC6"/>
    <w:rsid w:val="00062E7E"/>
    <w:rsid w:val="00065B61"/>
    <w:rsid w:val="00067035"/>
    <w:rsid w:val="0007092F"/>
    <w:rsid w:val="00071FA8"/>
    <w:rsid w:val="0007517C"/>
    <w:rsid w:val="00076A72"/>
    <w:rsid w:val="0008132B"/>
    <w:rsid w:val="00081360"/>
    <w:rsid w:val="0008253E"/>
    <w:rsid w:val="00083B57"/>
    <w:rsid w:val="00083EA3"/>
    <w:rsid w:val="000841EF"/>
    <w:rsid w:val="000846D4"/>
    <w:rsid w:val="00086570"/>
    <w:rsid w:val="00086D61"/>
    <w:rsid w:val="000943B0"/>
    <w:rsid w:val="000945DD"/>
    <w:rsid w:val="00094C66"/>
    <w:rsid w:val="00094FFC"/>
    <w:rsid w:val="000956C5"/>
    <w:rsid w:val="0009599B"/>
    <w:rsid w:val="000A1201"/>
    <w:rsid w:val="000A1391"/>
    <w:rsid w:val="000A287B"/>
    <w:rsid w:val="000A2A1A"/>
    <w:rsid w:val="000A5C81"/>
    <w:rsid w:val="000A6F04"/>
    <w:rsid w:val="000A7438"/>
    <w:rsid w:val="000A76B3"/>
    <w:rsid w:val="000B2017"/>
    <w:rsid w:val="000B308D"/>
    <w:rsid w:val="000B37D6"/>
    <w:rsid w:val="000B6297"/>
    <w:rsid w:val="000B65E2"/>
    <w:rsid w:val="000B7A8D"/>
    <w:rsid w:val="000C0018"/>
    <w:rsid w:val="000C00CE"/>
    <w:rsid w:val="000C0819"/>
    <w:rsid w:val="000C17DE"/>
    <w:rsid w:val="000C1A9B"/>
    <w:rsid w:val="000C2AB5"/>
    <w:rsid w:val="000C4710"/>
    <w:rsid w:val="000C5A9F"/>
    <w:rsid w:val="000D174A"/>
    <w:rsid w:val="000D3A5C"/>
    <w:rsid w:val="000D4336"/>
    <w:rsid w:val="000D49B4"/>
    <w:rsid w:val="000D4E08"/>
    <w:rsid w:val="000D633A"/>
    <w:rsid w:val="000D6BE3"/>
    <w:rsid w:val="000E08CB"/>
    <w:rsid w:val="000E0C9F"/>
    <w:rsid w:val="000E1388"/>
    <w:rsid w:val="000E5673"/>
    <w:rsid w:val="000F2186"/>
    <w:rsid w:val="000F2A12"/>
    <w:rsid w:val="000F2ECC"/>
    <w:rsid w:val="000F50B4"/>
    <w:rsid w:val="000F6666"/>
    <w:rsid w:val="001001A3"/>
    <w:rsid w:val="001011FC"/>
    <w:rsid w:val="00102618"/>
    <w:rsid w:val="00105423"/>
    <w:rsid w:val="00105B4A"/>
    <w:rsid w:val="00107C36"/>
    <w:rsid w:val="001119B6"/>
    <w:rsid w:val="00111D77"/>
    <w:rsid w:val="00114EFC"/>
    <w:rsid w:val="00115124"/>
    <w:rsid w:val="00115848"/>
    <w:rsid w:val="00116796"/>
    <w:rsid w:val="0011701D"/>
    <w:rsid w:val="00117443"/>
    <w:rsid w:val="00117F0F"/>
    <w:rsid w:val="001243AF"/>
    <w:rsid w:val="0012576B"/>
    <w:rsid w:val="00126A2D"/>
    <w:rsid w:val="00127C99"/>
    <w:rsid w:val="00130D79"/>
    <w:rsid w:val="0013146C"/>
    <w:rsid w:val="001351ED"/>
    <w:rsid w:val="0014098E"/>
    <w:rsid w:val="00143135"/>
    <w:rsid w:val="001528CC"/>
    <w:rsid w:val="001530C6"/>
    <w:rsid w:val="00153B32"/>
    <w:rsid w:val="001552B1"/>
    <w:rsid w:val="0015590F"/>
    <w:rsid w:val="0016040A"/>
    <w:rsid w:val="001605AA"/>
    <w:rsid w:val="001613DD"/>
    <w:rsid w:val="001618B1"/>
    <w:rsid w:val="001658EF"/>
    <w:rsid w:val="00166088"/>
    <w:rsid w:val="00172A27"/>
    <w:rsid w:val="001735B4"/>
    <w:rsid w:val="00173EF7"/>
    <w:rsid w:val="001748A3"/>
    <w:rsid w:val="00175F7A"/>
    <w:rsid w:val="00180101"/>
    <w:rsid w:val="00182889"/>
    <w:rsid w:val="00182B11"/>
    <w:rsid w:val="00183B4A"/>
    <w:rsid w:val="00184453"/>
    <w:rsid w:val="00184D80"/>
    <w:rsid w:val="00185763"/>
    <w:rsid w:val="00192979"/>
    <w:rsid w:val="00193C1D"/>
    <w:rsid w:val="00195B7E"/>
    <w:rsid w:val="001964D2"/>
    <w:rsid w:val="0019651A"/>
    <w:rsid w:val="00196869"/>
    <w:rsid w:val="0019797B"/>
    <w:rsid w:val="00197AD8"/>
    <w:rsid w:val="001A093D"/>
    <w:rsid w:val="001A0CCF"/>
    <w:rsid w:val="001A1AF1"/>
    <w:rsid w:val="001A2B51"/>
    <w:rsid w:val="001A2E05"/>
    <w:rsid w:val="001A2F7E"/>
    <w:rsid w:val="001A4491"/>
    <w:rsid w:val="001A4684"/>
    <w:rsid w:val="001B10BD"/>
    <w:rsid w:val="001B1B65"/>
    <w:rsid w:val="001B2F01"/>
    <w:rsid w:val="001B7FEF"/>
    <w:rsid w:val="001C06B6"/>
    <w:rsid w:val="001C298A"/>
    <w:rsid w:val="001C30C7"/>
    <w:rsid w:val="001C38D5"/>
    <w:rsid w:val="001C3F83"/>
    <w:rsid w:val="001C47DE"/>
    <w:rsid w:val="001C6230"/>
    <w:rsid w:val="001C7366"/>
    <w:rsid w:val="001D055E"/>
    <w:rsid w:val="001D1D28"/>
    <w:rsid w:val="001D4A29"/>
    <w:rsid w:val="001E1433"/>
    <w:rsid w:val="001E2D03"/>
    <w:rsid w:val="001E3AD6"/>
    <w:rsid w:val="001E48A1"/>
    <w:rsid w:val="001E6637"/>
    <w:rsid w:val="001F2208"/>
    <w:rsid w:val="001F4134"/>
    <w:rsid w:val="001F45EE"/>
    <w:rsid w:val="001F4850"/>
    <w:rsid w:val="001F4C93"/>
    <w:rsid w:val="001F5634"/>
    <w:rsid w:val="001F5A6B"/>
    <w:rsid w:val="00200B25"/>
    <w:rsid w:val="0020220D"/>
    <w:rsid w:val="00204259"/>
    <w:rsid w:val="00204A5C"/>
    <w:rsid w:val="0020605E"/>
    <w:rsid w:val="00206463"/>
    <w:rsid w:val="00207A0B"/>
    <w:rsid w:val="00211842"/>
    <w:rsid w:val="00212A53"/>
    <w:rsid w:val="0021322F"/>
    <w:rsid w:val="00213B90"/>
    <w:rsid w:val="00215765"/>
    <w:rsid w:val="00215AF0"/>
    <w:rsid w:val="00215D24"/>
    <w:rsid w:val="00217AB9"/>
    <w:rsid w:val="0022140E"/>
    <w:rsid w:val="002229E2"/>
    <w:rsid w:val="0022434B"/>
    <w:rsid w:val="002256F6"/>
    <w:rsid w:val="00227E7E"/>
    <w:rsid w:val="00230081"/>
    <w:rsid w:val="00232CDE"/>
    <w:rsid w:val="002338FB"/>
    <w:rsid w:val="0023423F"/>
    <w:rsid w:val="002346AC"/>
    <w:rsid w:val="0023579F"/>
    <w:rsid w:val="002360E7"/>
    <w:rsid w:val="00236570"/>
    <w:rsid w:val="00237422"/>
    <w:rsid w:val="00237B0E"/>
    <w:rsid w:val="00240884"/>
    <w:rsid w:val="00241EE0"/>
    <w:rsid w:val="002430C2"/>
    <w:rsid w:val="0024468E"/>
    <w:rsid w:val="00246923"/>
    <w:rsid w:val="00250519"/>
    <w:rsid w:val="00251109"/>
    <w:rsid w:val="00251A49"/>
    <w:rsid w:val="002524EF"/>
    <w:rsid w:val="0025460A"/>
    <w:rsid w:val="00254D13"/>
    <w:rsid w:val="00255C9B"/>
    <w:rsid w:val="00255D0D"/>
    <w:rsid w:val="00256F42"/>
    <w:rsid w:val="0026045C"/>
    <w:rsid w:val="00260650"/>
    <w:rsid w:val="00260B7B"/>
    <w:rsid w:val="00260C77"/>
    <w:rsid w:val="00261352"/>
    <w:rsid w:val="002617D5"/>
    <w:rsid w:val="00263947"/>
    <w:rsid w:val="00263F0B"/>
    <w:rsid w:val="00264785"/>
    <w:rsid w:val="00264CEC"/>
    <w:rsid w:val="00264E3B"/>
    <w:rsid w:val="00264EB1"/>
    <w:rsid w:val="0026524D"/>
    <w:rsid w:val="00265A8B"/>
    <w:rsid w:val="002707AB"/>
    <w:rsid w:val="0027148F"/>
    <w:rsid w:val="002718DC"/>
    <w:rsid w:val="002733D4"/>
    <w:rsid w:val="00273E0A"/>
    <w:rsid w:val="0027426A"/>
    <w:rsid w:val="002751CF"/>
    <w:rsid w:val="00276C71"/>
    <w:rsid w:val="0027764B"/>
    <w:rsid w:val="00281526"/>
    <w:rsid w:val="00281E0E"/>
    <w:rsid w:val="00282FB1"/>
    <w:rsid w:val="00285406"/>
    <w:rsid w:val="00285F17"/>
    <w:rsid w:val="00286C1A"/>
    <w:rsid w:val="00287666"/>
    <w:rsid w:val="00291BE9"/>
    <w:rsid w:val="0029287A"/>
    <w:rsid w:val="00294405"/>
    <w:rsid w:val="00294759"/>
    <w:rsid w:val="002A1233"/>
    <w:rsid w:val="002A552C"/>
    <w:rsid w:val="002A65ED"/>
    <w:rsid w:val="002B0537"/>
    <w:rsid w:val="002B2D21"/>
    <w:rsid w:val="002B7AC0"/>
    <w:rsid w:val="002C0C29"/>
    <w:rsid w:val="002C35E2"/>
    <w:rsid w:val="002C4B9C"/>
    <w:rsid w:val="002C51BB"/>
    <w:rsid w:val="002C688F"/>
    <w:rsid w:val="002C7B9B"/>
    <w:rsid w:val="002D2B90"/>
    <w:rsid w:val="002D3451"/>
    <w:rsid w:val="002D458D"/>
    <w:rsid w:val="002D6F32"/>
    <w:rsid w:val="002E0561"/>
    <w:rsid w:val="002E146B"/>
    <w:rsid w:val="002E1DAC"/>
    <w:rsid w:val="002E357F"/>
    <w:rsid w:val="002E37E9"/>
    <w:rsid w:val="002E50EE"/>
    <w:rsid w:val="002E602B"/>
    <w:rsid w:val="002E6D05"/>
    <w:rsid w:val="002F0F43"/>
    <w:rsid w:val="002F1898"/>
    <w:rsid w:val="002F1EE0"/>
    <w:rsid w:val="002F4E05"/>
    <w:rsid w:val="002F72A0"/>
    <w:rsid w:val="00302940"/>
    <w:rsid w:val="00303961"/>
    <w:rsid w:val="0030445C"/>
    <w:rsid w:val="00305F01"/>
    <w:rsid w:val="00306D86"/>
    <w:rsid w:val="00307657"/>
    <w:rsid w:val="003076D1"/>
    <w:rsid w:val="0031005D"/>
    <w:rsid w:val="0031111C"/>
    <w:rsid w:val="00311324"/>
    <w:rsid w:val="00311D51"/>
    <w:rsid w:val="003122C4"/>
    <w:rsid w:val="00312B95"/>
    <w:rsid w:val="00314103"/>
    <w:rsid w:val="003147FA"/>
    <w:rsid w:val="00314C76"/>
    <w:rsid w:val="00316F8B"/>
    <w:rsid w:val="00317712"/>
    <w:rsid w:val="0032031D"/>
    <w:rsid w:val="00320467"/>
    <w:rsid w:val="00321647"/>
    <w:rsid w:val="00321989"/>
    <w:rsid w:val="0032388C"/>
    <w:rsid w:val="003243EC"/>
    <w:rsid w:val="003247CD"/>
    <w:rsid w:val="003254CF"/>
    <w:rsid w:val="00325648"/>
    <w:rsid w:val="00330A66"/>
    <w:rsid w:val="00332F9A"/>
    <w:rsid w:val="00335C80"/>
    <w:rsid w:val="003362AD"/>
    <w:rsid w:val="003369D4"/>
    <w:rsid w:val="0033761D"/>
    <w:rsid w:val="00337CAE"/>
    <w:rsid w:val="00341528"/>
    <w:rsid w:val="00342688"/>
    <w:rsid w:val="0034440E"/>
    <w:rsid w:val="003447B0"/>
    <w:rsid w:val="00345CFE"/>
    <w:rsid w:val="003467E6"/>
    <w:rsid w:val="00347899"/>
    <w:rsid w:val="003478BA"/>
    <w:rsid w:val="003518D6"/>
    <w:rsid w:val="003533B0"/>
    <w:rsid w:val="003546B3"/>
    <w:rsid w:val="00354B7A"/>
    <w:rsid w:val="00360B10"/>
    <w:rsid w:val="00360D54"/>
    <w:rsid w:val="00361C71"/>
    <w:rsid w:val="0036214F"/>
    <w:rsid w:val="003628CD"/>
    <w:rsid w:val="00363177"/>
    <w:rsid w:val="00363966"/>
    <w:rsid w:val="00365EDA"/>
    <w:rsid w:val="00366867"/>
    <w:rsid w:val="00372BB2"/>
    <w:rsid w:val="00373178"/>
    <w:rsid w:val="00373AAA"/>
    <w:rsid w:val="003741B0"/>
    <w:rsid w:val="00375DD7"/>
    <w:rsid w:val="00376AAB"/>
    <w:rsid w:val="0038072B"/>
    <w:rsid w:val="0038240C"/>
    <w:rsid w:val="0038359A"/>
    <w:rsid w:val="003839BF"/>
    <w:rsid w:val="0038704D"/>
    <w:rsid w:val="003876BB"/>
    <w:rsid w:val="00387996"/>
    <w:rsid w:val="00390CD0"/>
    <w:rsid w:val="00391F03"/>
    <w:rsid w:val="0039343C"/>
    <w:rsid w:val="003A0068"/>
    <w:rsid w:val="003A067D"/>
    <w:rsid w:val="003A2368"/>
    <w:rsid w:val="003A3829"/>
    <w:rsid w:val="003A3F98"/>
    <w:rsid w:val="003A563B"/>
    <w:rsid w:val="003A5B10"/>
    <w:rsid w:val="003A6775"/>
    <w:rsid w:val="003B2B82"/>
    <w:rsid w:val="003B3719"/>
    <w:rsid w:val="003B41C4"/>
    <w:rsid w:val="003B7DD1"/>
    <w:rsid w:val="003C0704"/>
    <w:rsid w:val="003C0D7D"/>
    <w:rsid w:val="003C163E"/>
    <w:rsid w:val="003C3469"/>
    <w:rsid w:val="003C4858"/>
    <w:rsid w:val="003C5BB3"/>
    <w:rsid w:val="003C5EED"/>
    <w:rsid w:val="003C6162"/>
    <w:rsid w:val="003C663D"/>
    <w:rsid w:val="003C7688"/>
    <w:rsid w:val="003D1170"/>
    <w:rsid w:val="003D1B8E"/>
    <w:rsid w:val="003D2D72"/>
    <w:rsid w:val="003D36EE"/>
    <w:rsid w:val="003D515C"/>
    <w:rsid w:val="003D6E0A"/>
    <w:rsid w:val="003D6EB6"/>
    <w:rsid w:val="003E114D"/>
    <w:rsid w:val="003E5347"/>
    <w:rsid w:val="003F18FD"/>
    <w:rsid w:val="003F1CDB"/>
    <w:rsid w:val="003F1FBD"/>
    <w:rsid w:val="003F3518"/>
    <w:rsid w:val="003F504F"/>
    <w:rsid w:val="003F5B69"/>
    <w:rsid w:val="004006C9"/>
    <w:rsid w:val="004009FD"/>
    <w:rsid w:val="00403934"/>
    <w:rsid w:val="004062B6"/>
    <w:rsid w:val="004105EF"/>
    <w:rsid w:val="0041115C"/>
    <w:rsid w:val="00411574"/>
    <w:rsid w:val="00412501"/>
    <w:rsid w:val="004125A8"/>
    <w:rsid w:val="004138B6"/>
    <w:rsid w:val="00413A55"/>
    <w:rsid w:val="004158CA"/>
    <w:rsid w:val="00415A1A"/>
    <w:rsid w:val="00416B69"/>
    <w:rsid w:val="0042017A"/>
    <w:rsid w:val="0042326A"/>
    <w:rsid w:val="00423F96"/>
    <w:rsid w:val="0042619D"/>
    <w:rsid w:val="00427AD3"/>
    <w:rsid w:val="00430583"/>
    <w:rsid w:val="004315A2"/>
    <w:rsid w:val="00431F4F"/>
    <w:rsid w:val="0043351E"/>
    <w:rsid w:val="00433676"/>
    <w:rsid w:val="004343BE"/>
    <w:rsid w:val="00435EFF"/>
    <w:rsid w:val="00436504"/>
    <w:rsid w:val="00436C0E"/>
    <w:rsid w:val="004405C7"/>
    <w:rsid w:val="00441D39"/>
    <w:rsid w:val="0044250A"/>
    <w:rsid w:val="00442AF8"/>
    <w:rsid w:val="00445120"/>
    <w:rsid w:val="0044514A"/>
    <w:rsid w:val="0044527D"/>
    <w:rsid w:val="00447E59"/>
    <w:rsid w:val="00450DB7"/>
    <w:rsid w:val="00452F57"/>
    <w:rsid w:val="00455668"/>
    <w:rsid w:val="004575C8"/>
    <w:rsid w:val="004579D9"/>
    <w:rsid w:val="00457DC2"/>
    <w:rsid w:val="0046206C"/>
    <w:rsid w:val="00464927"/>
    <w:rsid w:val="00465378"/>
    <w:rsid w:val="00466A71"/>
    <w:rsid w:val="00466C94"/>
    <w:rsid w:val="00467CC6"/>
    <w:rsid w:val="004733D3"/>
    <w:rsid w:val="0047355E"/>
    <w:rsid w:val="00473597"/>
    <w:rsid w:val="00473AAF"/>
    <w:rsid w:val="0047643F"/>
    <w:rsid w:val="0048490E"/>
    <w:rsid w:val="0048596D"/>
    <w:rsid w:val="00486461"/>
    <w:rsid w:val="00487315"/>
    <w:rsid w:val="004903F0"/>
    <w:rsid w:val="004910DF"/>
    <w:rsid w:val="00491CF8"/>
    <w:rsid w:val="00493185"/>
    <w:rsid w:val="00493F74"/>
    <w:rsid w:val="00494624"/>
    <w:rsid w:val="00495001"/>
    <w:rsid w:val="004958B6"/>
    <w:rsid w:val="00496A7E"/>
    <w:rsid w:val="00497371"/>
    <w:rsid w:val="004A112E"/>
    <w:rsid w:val="004A197D"/>
    <w:rsid w:val="004A221E"/>
    <w:rsid w:val="004A3F85"/>
    <w:rsid w:val="004A4145"/>
    <w:rsid w:val="004A4276"/>
    <w:rsid w:val="004A43F1"/>
    <w:rsid w:val="004A4A09"/>
    <w:rsid w:val="004A4B49"/>
    <w:rsid w:val="004A508E"/>
    <w:rsid w:val="004A5FF2"/>
    <w:rsid w:val="004A70D5"/>
    <w:rsid w:val="004A76F2"/>
    <w:rsid w:val="004B16DB"/>
    <w:rsid w:val="004B220E"/>
    <w:rsid w:val="004B3390"/>
    <w:rsid w:val="004B3B55"/>
    <w:rsid w:val="004B3E29"/>
    <w:rsid w:val="004B51E3"/>
    <w:rsid w:val="004B54E7"/>
    <w:rsid w:val="004B6ED7"/>
    <w:rsid w:val="004C16FA"/>
    <w:rsid w:val="004C3F9A"/>
    <w:rsid w:val="004C4233"/>
    <w:rsid w:val="004C5020"/>
    <w:rsid w:val="004D0A15"/>
    <w:rsid w:val="004D0A89"/>
    <w:rsid w:val="004D1209"/>
    <w:rsid w:val="004D1CC7"/>
    <w:rsid w:val="004D1D26"/>
    <w:rsid w:val="004D3A49"/>
    <w:rsid w:val="004D4247"/>
    <w:rsid w:val="004D4F12"/>
    <w:rsid w:val="004D5623"/>
    <w:rsid w:val="004D7237"/>
    <w:rsid w:val="004D794D"/>
    <w:rsid w:val="004D7FCB"/>
    <w:rsid w:val="004E0C05"/>
    <w:rsid w:val="004E15C6"/>
    <w:rsid w:val="004E3473"/>
    <w:rsid w:val="004E54EB"/>
    <w:rsid w:val="004E78F5"/>
    <w:rsid w:val="004F0DB1"/>
    <w:rsid w:val="004F1425"/>
    <w:rsid w:val="004F174C"/>
    <w:rsid w:val="004F20F0"/>
    <w:rsid w:val="004F278C"/>
    <w:rsid w:val="004F2C65"/>
    <w:rsid w:val="004F3309"/>
    <w:rsid w:val="004F39F7"/>
    <w:rsid w:val="005034E3"/>
    <w:rsid w:val="00503AB0"/>
    <w:rsid w:val="0050739A"/>
    <w:rsid w:val="00507F25"/>
    <w:rsid w:val="005100DC"/>
    <w:rsid w:val="00511660"/>
    <w:rsid w:val="00512A0D"/>
    <w:rsid w:val="00513F69"/>
    <w:rsid w:val="0051560B"/>
    <w:rsid w:val="005174D3"/>
    <w:rsid w:val="00517A67"/>
    <w:rsid w:val="00517CCE"/>
    <w:rsid w:val="005212F7"/>
    <w:rsid w:val="0052194C"/>
    <w:rsid w:val="005229A0"/>
    <w:rsid w:val="00522D50"/>
    <w:rsid w:val="00524932"/>
    <w:rsid w:val="005251E7"/>
    <w:rsid w:val="00525E12"/>
    <w:rsid w:val="005272C3"/>
    <w:rsid w:val="005275D1"/>
    <w:rsid w:val="00527D92"/>
    <w:rsid w:val="00531AB3"/>
    <w:rsid w:val="00531BAF"/>
    <w:rsid w:val="00535573"/>
    <w:rsid w:val="00537234"/>
    <w:rsid w:val="00537781"/>
    <w:rsid w:val="00537C16"/>
    <w:rsid w:val="005409DB"/>
    <w:rsid w:val="00540FB3"/>
    <w:rsid w:val="00542C62"/>
    <w:rsid w:val="00543007"/>
    <w:rsid w:val="00543076"/>
    <w:rsid w:val="00543F5F"/>
    <w:rsid w:val="00545698"/>
    <w:rsid w:val="00546149"/>
    <w:rsid w:val="0054730C"/>
    <w:rsid w:val="00547432"/>
    <w:rsid w:val="00547FEE"/>
    <w:rsid w:val="0055408A"/>
    <w:rsid w:val="00554AC7"/>
    <w:rsid w:val="00555089"/>
    <w:rsid w:val="005559D5"/>
    <w:rsid w:val="005565F1"/>
    <w:rsid w:val="00562259"/>
    <w:rsid w:val="005655BD"/>
    <w:rsid w:val="00565E6F"/>
    <w:rsid w:val="005661E1"/>
    <w:rsid w:val="00566E24"/>
    <w:rsid w:val="00570D4B"/>
    <w:rsid w:val="00571501"/>
    <w:rsid w:val="0057179B"/>
    <w:rsid w:val="005723AB"/>
    <w:rsid w:val="00573B46"/>
    <w:rsid w:val="00573C8F"/>
    <w:rsid w:val="00574404"/>
    <w:rsid w:val="005745E0"/>
    <w:rsid w:val="00574712"/>
    <w:rsid w:val="00574F99"/>
    <w:rsid w:val="005754C4"/>
    <w:rsid w:val="00576B7B"/>
    <w:rsid w:val="00576C5E"/>
    <w:rsid w:val="00577C17"/>
    <w:rsid w:val="005804CC"/>
    <w:rsid w:val="00580957"/>
    <w:rsid w:val="005810F1"/>
    <w:rsid w:val="00581289"/>
    <w:rsid w:val="005817BC"/>
    <w:rsid w:val="005818B8"/>
    <w:rsid w:val="005824FB"/>
    <w:rsid w:val="00582EE7"/>
    <w:rsid w:val="00585AAB"/>
    <w:rsid w:val="00585BA6"/>
    <w:rsid w:val="00586955"/>
    <w:rsid w:val="005870EB"/>
    <w:rsid w:val="00587762"/>
    <w:rsid w:val="00592807"/>
    <w:rsid w:val="00592DCF"/>
    <w:rsid w:val="005955BA"/>
    <w:rsid w:val="00595FA0"/>
    <w:rsid w:val="005971B4"/>
    <w:rsid w:val="00597C80"/>
    <w:rsid w:val="005A0B59"/>
    <w:rsid w:val="005A1CDE"/>
    <w:rsid w:val="005A212B"/>
    <w:rsid w:val="005A245A"/>
    <w:rsid w:val="005A2853"/>
    <w:rsid w:val="005A2C7B"/>
    <w:rsid w:val="005A3157"/>
    <w:rsid w:val="005A324A"/>
    <w:rsid w:val="005A7856"/>
    <w:rsid w:val="005B0F9A"/>
    <w:rsid w:val="005B1A42"/>
    <w:rsid w:val="005B27B2"/>
    <w:rsid w:val="005B3BBE"/>
    <w:rsid w:val="005B41F9"/>
    <w:rsid w:val="005B4DB1"/>
    <w:rsid w:val="005B53B5"/>
    <w:rsid w:val="005C162E"/>
    <w:rsid w:val="005C3294"/>
    <w:rsid w:val="005C417A"/>
    <w:rsid w:val="005C5030"/>
    <w:rsid w:val="005C54CF"/>
    <w:rsid w:val="005C706D"/>
    <w:rsid w:val="005C7CC7"/>
    <w:rsid w:val="005D22FC"/>
    <w:rsid w:val="005D3D41"/>
    <w:rsid w:val="005D736F"/>
    <w:rsid w:val="005E018D"/>
    <w:rsid w:val="005E0827"/>
    <w:rsid w:val="005E15D1"/>
    <w:rsid w:val="005E4F70"/>
    <w:rsid w:val="005E52D1"/>
    <w:rsid w:val="005E6CD5"/>
    <w:rsid w:val="005E7962"/>
    <w:rsid w:val="005E7CE8"/>
    <w:rsid w:val="005E7EC7"/>
    <w:rsid w:val="005F162E"/>
    <w:rsid w:val="005F16C3"/>
    <w:rsid w:val="005F1B58"/>
    <w:rsid w:val="005F328B"/>
    <w:rsid w:val="005F3D2C"/>
    <w:rsid w:val="005F60B1"/>
    <w:rsid w:val="005F74F3"/>
    <w:rsid w:val="005F7CE9"/>
    <w:rsid w:val="00600DCE"/>
    <w:rsid w:val="006041C3"/>
    <w:rsid w:val="006052FC"/>
    <w:rsid w:val="00605403"/>
    <w:rsid w:val="00605A28"/>
    <w:rsid w:val="00607629"/>
    <w:rsid w:val="00610BBF"/>
    <w:rsid w:val="006127AC"/>
    <w:rsid w:val="00613672"/>
    <w:rsid w:val="00613FB5"/>
    <w:rsid w:val="00614E98"/>
    <w:rsid w:val="00614EBD"/>
    <w:rsid w:val="006178D6"/>
    <w:rsid w:val="00620B9C"/>
    <w:rsid w:val="0062295C"/>
    <w:rsid w:val="0062323D"/>
    <w:rsid w:val="00623AD2"/>
    <w:rsid w:val="00623F73"/>
    <w:rsid w:val="006240AB"/>
    <w:rsid w:val="00627446"/>
    <w:rsid w:val="006300EA"/>
    <w:rsid w:val="00632B51"/>
    <w:rsid w:val="00633021"/>
    <w:rsid w:val="0063584F"/>
    <w:rsid w:val="00636962"/>
    <w:rsid w:val="00637781"/>
    <w:rsid w:val="00640F5A"/>
    <w:rsid w:val="00641920"/>
    <w:rsid w:val="00643B4D"/>
    <w:rsid w:val="00644C71"/>
    <w:rsid w:val="006462FA"/>
    <w:rsid w:val="006512A9"/>
    <w:rsid w:val="00651D65"/>
    <w:rsid w:val="00653F33"/>
    <w:rsid w:val="0065401F"/>
    <w:rsid w:val="00654756"/>
    <w:rsid w:val="0065767F"/>
    <w:rsid w:val="00660EBB"/>
    <w:rsid w:val="0066206B"/>
    <w:rsid w:val="00663CC5"/>
    <w:rsid w:val="00667942"/>
    <w:rsid w:val="00670660"/>
    <w:rsid w:val="006811B0"/>
    <w:rsid w:val="0068471E"/>
    <w:rsid w:val="00684D69"/>
    <w:rsid w:val="006857AD"/>
    <w:rsid w:val="00686AF3"/>
    <w:rsid w:val="006914EE"/>
    <w:rsid w:val="00691F97"/>
    <w:rsid w:val="006928F3"/>
    <w:rsid w:val="00692DCA"/>
    <w:rsid w:val="006952F5"/>
    <w:rsid w:val="006A2E04"/>
    <w:rsid w:val="006A2F51"/>
    <w:rsid w:val="006A350C"/>
    <w:rsid w:val="006A448D"/>
    <w:rsid w:val="006A5596"/>
    <w:rsid w:val="006B15E6"/>
    <w:rsid w:val="006B2167"/>
    <w:rsid w:val="006B229A"/>
    <w:rsid w:val="006B268E"/>
    <w:rsid w:val="006B317B"/>
    <w:rsid w:val="006B4620"/>
    <w:rsid w:val="006B58FD"/>
    <w:rsid w:val="006C05AD"/>
    <w:rsid w:val="006C1B42"/>
    <w:rsid w:val="006C22AE"/>
    <w:rsid w:val="006C2F62"/>
    <w:rsid w:val="006C3334"/>
    <w:rsid w:val="006C45C7"/>
    <w:rsid w:val="006C4F89"/>
    <w:rsid w:val="006C5495"/>
    <w:rsid w:val="006C56C9"/>
    <w:rsid w:val="006D05E4"/>
    <w:rsid w:val="006D144F"/>
    <w:rsid w:val="006D4C52"/>
    <w:rsid w:val="006D567B"/>
    <w:rsid w:val="006D6D79"/>
    <w:rsid w:val="006E0B76"/>
    <w:rsid w:val="006E1A78"/>
    <w:rsid w:val="006E1CF0"/>
    <w:rsid w:val="006E2EB3"/>
    <w:rsid w:val="006E3EAB"/>
    <w:rsid w:val="006E4938"/>
    <w:rsid w:val="006E521B"/>
    <w:rsid w:val="006E5AC6"/>
    <w:rsid w:val="006E7789"/>
    <w:rsid w:val="006F2BB0"/>
    <w:rsid w:val="006F2EC0"/>
    <w:rsid w:val="006F30B4"/>
    <w:rsid w:val="006F3939"/>
    <w:rsid w:val="006F4607"/>
    <w:rsid w:val="006F46C3"/>
    <w:rsid w:val="006F5FB8"/>
    <w:rsid w:val="006F6CD6"/>
    <w:rsid w:val="006F6E12"/>
    <w:rsid w:val="00700762"/>
    <w:rsid w:val="00701A84"/>
    <w:rsid w:val="00705859"/>
    <w:rsid w:val="007058F5"/>
    <w:rsid w:val="00706041"/>
    <w:rsid w:val="00710D6C"/>
    <w:rsid w:val="00710D93"/>
    <w:rsid w:val="007123AF"/>
    <w:rsid w:val="00712A96"/>
    <w:rsid w:val="00716EE4"/>
    <w:rsid w:val="00721056"/>
    <w:rsid w:val="00722CDE"/>
    <w:rsid w:val="00722E71"/>
    <w:rsid w:val="00723AEF"/>
    <w:rsid w:val="00725C94"/>
    <w:rsid w:val="00725F00"/>
    <w:rsid w:val="00726A6C"/>
    <w:rsid w:val="00726B23"/>
    <w:rsid w:val="00726C76"/>
    <w:rsid w:val="00726DB7"/>
    <w:rsid w:val="00727E29"/>
    <w:rsid w:val="0073232D"/>
    <w:rsid w:val="00733083"/>
    <w:rsid w:val="007356EB"/>
    <w:rsid w:val="00735916"/>
    <w:rsid w:val="00740AE9"/>
    <w:rsid w:val="00742B21"/>
    <w:rsid w:val="00744517"/>
    <w:rsid w:val="007476CC"/>
    <w:rsid w:val="00750137"/>
    <w:rsid w:val="00751018"/>
    <w:rsid w:val="0075115C"/>
    <w:rsid w:val="007516C9"/>
    <w:rsid w:val="00752100"/>
    <w:rsid w:val="007538E9"/>
    <w:rsid w:val="00753921"/>
    <w:rsid w:val="00755157"/>
    <w:rsid w:val="007569B0"/>
    <w:rsid w:val="007604C3"/>
    <w:rsid w:val="00760588"/>
    <w:rsid w:val="0076115D"/>
    <w:rsid w:val="00761739"/>
    <w:rsid w:val="00762C99"/>
    <w:rsid w:val="00766147"/>
    <w:rsid w:val="00766DD4"/>
    <w:rsid w:val="00767CF8"/>
    <w:rsid w:val="00770518"/>
    <w:rsid w:val="00770C01"/>
    <w:rsid w:val="00771522"/>
    <w:rsid w:val="00772282"/>
    <w:rsid w:val="0077236D"/>
    <w:rsid w:val="007724D2"/>
    <w:rsid w:val="00772E30"/>
    <w:rsid w:val="00774C3B"/>
    <w:rsid w:val="007769FC"/>
    <w:rsid w:val="00780470"/>
    <w:rsid w:val="00780BC1"/>
    <w:rsid w:val="0078343C"/>
    <w:rsid w:val="00783760"/>
    <w:rsid w:val="0078582F"/>
    <w:rsid w:val="00787834"/>
    <w:rsid w:val="00790A94"/>
    <w:rsid w:val="007911B2"/>
    <w:rsid w:val="00797ACE"/>
    <w:rsid w:val="007A08F7"/>
    <w:rsid w:val="007A1E5B"/>
    <w:rsid w:val="007A27B2"/>
    <w:rsid w:val="007A3441"/>
    <w:rsid w:val="007A36C9"/>
    <w:rsid w:val="007A3C01"/>
    <w:rsid w:val="007A5188"/>
    <w:rsid w:val="007A6247"/>
    <w:rsid w:val="007A6512"/>
    <w:rsid w:val="007A67FD"/>
    <w:rsid w:val="007B0A87"/>
    <w:rsid w:val="007B2210"/>
    <w:rsid w:val="007B300E"/>
    <w:rsid w:val="007B3D71"/>
    <w:rsid w:val="007B5077"/>
    <w:rsid w:val="007B5213"/>
    <w:rsid w:val="007B7DDF"/>
    <w:rsid w:val="007C1CB9"/>
    <w:rsid w:val="007C292F"/>
    <w:rsid w:val="007C2AB0"/>
    <w:rsid w:val="007C3124"/>
    <w:rsid w:val="007C5B73"/>
    <w:rsid w:val="007C5DF5"/>
    <w:rsid w:val="007D07A2"/>
    <w:rsid w:val="007D16DC"/>
    <w:rsid w:val="007D1D17"/>
    <w:rsid w:val="007D29C2"/>
    <w:rsid w:val="007D36E9"/>
    <w:rsid w:val="007D3AAE"/>
    <w:rsid w:val="007D4C26"/>
    <w:rsid w:val="007D5CBB"/>
    <w:rsid w:val="007D6572"/>
    <w:rsid w:val="007D6983"/>
    <w:rsid w:val="007E0563"/>
    <w:rsid w:val="007E1033"/>
    <w:rsid w:val="007E1153"/>
    <w:rsid w:val="007E129F"/>
    <w:rsid w:val="007E1F8D"/>
    <w:rsid w:val="007E6590"/>
    <w:rsid w:val="007E6F41"/>
    <w:rsid w:val="007E78FD"/>
    <w:rsid w:val="007F24FF"/>
    <w:rsid w:val="007F27C7"/>
    <w:rsid w:val="007F2D92"/>
    <w:rsid w:val="007F33A5"/>
    <w:rsid w:val="007F498E"/>
    <w:rsid w:val="007F61D6"/>
    <w:rsid w:val="007F67B4"/>
    <w:rsid w:val="007F6A96"/>
    <w:rsid w:val="008009B4"/>
    <w:rsid w:val="008016DA"/>
    <w:rsid w:val="00801CAA"/>
    <w:rsid w:val="00802B3E"/>
    <w:rsid w:val="00803D1B"/>
    <w:rsid w:val="00804854"/>
    <w:rsid w:val="00805A2D"/>
    <w:rsid w:val="00805D01"/>
    <w:rsid w:val="00810606"/>
    <w:rsid w:val="00812D3A"/>
    <w:rsid w:val="008149E0"/>
    <w:rsid w:val="00814ACE"/>
    <w:rsid w:val="008208F6"/>
    <w:rsid w:val="00822B05"/>
    <w:rsid w:val="00823971"/>
    <w:rsid w:val="00825115"/>
    <w:rsid w:val="00825C0C"/>
    <w:rsid w:val="008261CA"/>
    <w:rsid w:val="00826534"/>
    <w:rsid w:val="00826C28"/>
    <w:rsid w:val="00827909"/>
    <w:rsid w:val="00833E5B"/>
    <w:rsid w:val="00833F8A"/>
    <w:rsid w:val="00834CBD"/>
    <w:rsid w:val="00835A0A"/>
    <w:rsid w:val="00835FA3"/>
    <w:rsid w:val="00836AA3"/>
    <w:rsid w:val="00836FCA"/>
    <w:rsid w:val="00842D0A"/>
    <w:rsid w:val="00843663"/>
    <w:rsid w:val="008436FC"/>
    <w:rsid w:val="0084602F"/>
    <w:rsid w:val="00846D74"/>
    <w:rsid w:val="00847755"/>
    <w:rsid w:val="00851FB3"/>
    <w:rsid w:val="0085267C"/>
    <w:rsid w:val="0085280B"/>
    <w:rsid w:val="008567AE"/>
    <w:rsid w:val="008602E0"/>
    <w:rsid w:val="0086119A"/>
    <w:rsid w:val="00862274"/>
    <w:rsid w:val="008625DD"/>
    <w:rsid w:val="008631FE"/>
    <w:rsid w:val="008634A5"/>
    <w:rsid w:val="008639FD"/>
    <w:rsid w:val="008656EF"/>
    <w:rsid w:val="008657D0"/>
    <w:rsid w:val="00865A18"/>
    <w:rsid w:val="00873670"/>
    <w:rsid w:val="00877B50"/>
    <w:rsid w:val="00880196"/>
    <w:rsid w:val="00880C4E"/>
    <w:rsid w:val="00883C18"/>
    <w:rsid w:val="00884003"/>
    <w:rsid w:val="00884568"/>
    <w:rsid w:val="00886D39"/>
    <w:rsid w:val="00891335"/>
    <w:rsid w:val="00893F10"/>
    <w:rsid w:val="00897CC6"/>
    <w:rsid w:val="008A0C4A"/>
    <w:rsid w:val="008A3781"/>
    <w:rsid w:val="008A4C9A"/>
    <w:rsid w:val="008A4F8A"/>
    <w:rsid w:val="008A55DC"/>
    <w:rsid w:val="008A6176"/>
    <w:rsid w:val="008A6265"/>
    <w:rsid w:val="008A6F43"/>
    <w:rsid w:val="008A74CE"/>
    <w:rsid w:val="008B0843"/>
    <w:rsid w:val="008B178C"/>
    <w:rsid w:val="008B256A"/>
    <w:rsid w:val="008B4537"/>
    <w:rsid w:val="008B4958"/>
    <w:rsid w:val="008B50BC"/>
    <w:rsid w:val="008B5F19"/>
    <w:rsid w:val="008B6D39"/>
    <w:rsid w:val="008C0F7D"/>
    <w:rsid w:val="008C11DF"/>
    <w:rsid w:val="008C1A6B"/>
    <w:rsid w:val="008C3C6E"/>
    <w:rsid w:val="008C4D93"/>
    <w:rsid w:val="008C5746"/>
    <w:rsid w:val="008C7711"/>
    <w:rsid w:val="008D03E3"/>
    <w:rsid w:val="008D085E"/>
    <w:rsid w:val="008D0EA5"/>
    <w:rsid w:val="008D185A"/>
    <w:rsid w:val="008D1879"/>
    <w:rsid w:val="008D2226"/>
    <w:rsid w:val="008D22FB"/>
    <w:rsid w:val="008D2B4F"/>
    <w:rsid w:val="008D34AF"/>
    <w:rsid w:val="008D51B7"/>
    <w:rsid w:val="008E0AE1"/>
    <w:rsid w:val="008E2CA5"/>
    <w:rsid w:val="008E3370"/>
    <w:rsid w:val="008E3A41"/>
    <w:rsid w:val="008E40E6"/>
    <w:rsid w:val="008F1666"/>
    <w:rsid w:val="008F1903"/>
    <w:rsid w:val="008F25E1"/>
    <w:rsid w:val="008F2DB6"/>
    <w:rsid w:val="008F45C3"/>
    <w:rsid w:val="008F54C0"/>
    <w:rsid w:val="008F78BF"/>
    <w:rsid w:val="0090152F"/>
    <w:rsid w:val="00901B60"/>
    <w:rsid w:val="0090314C"/>
    <w:rsid w:val="009035B3"/>
    <w:rsid w:val="009045DE"/>
    <w:rsid w:val="00905830"/>
    <w:rsid w:val="00905AE6"/>
    <w:rsid w:val="00907607"/>
    <w:rsid w:val="00907E84"/>
    <w:rsid w:val="009102B1"/>
    <w:rsid w:val="0091348F"/>
    <w:rsid w:val="00913849"/>
    <w:rsid w:val="00913DA9"/>
    <w:rsid w:val="009143D6"/>
    <w:rsid w:val="0091575A"/>
    <w:rsid w:val="00915BD0"/>
    <w:rsid w:val="00915FD5"/>
    <w:rsid w:val="009165B6"/>
    <w:rsid w:val="00916B19"/>
    <w:rsid w:val="0091764F"/>
    <w:rsid w:val="00920176"/>
    <w:rsid w:val="00922D1D"/>
    <w:rsid w:val="00925712"/>
    <w:rsid w:val="0092577B"/>
    <w:rsid w:val="00926486"/>
    <w:rsid w:val="00926831"/>
    <w:rsid w:val="009303A2"/>
    <w:rsid w:val="00937163"/>
    <w:rsid w:val="00940482"/>
    <w:rsid w:val="00942FF5"/>
    <w:rsid w:val="00943B39"/>
    <w:rsid w:val="00943F58"/>
    <w:rsid w:val="0094443B"/>
    <w:rsid w:val="00946950"/>
    <w:rsid w:val="0094784E"/>
    <w:rsid w:val="00947882"/>
    <w:rsid w:val="0094793B"/>
    <w:rsid w:val="00951153"/>
    <w:rsid w:val="00953A9D"/>
    <w:rsid w:val="00953E62"/>
    <w:rsid w:val="009550FC"/>
    <w:rsid w:val="00956336"/>
    <w:rsid w:val="0095755C"/>
    <w:rsid w:val="00957C87"/>
    <w:rsid w:val="00960983"/>
    <w:rsid w:val="00961404"/>
    <w:rsid w:val="009614C7"/>
    <w:rsid w:val="0096197F"/>
    <w:rsid w:val="00962079"/>
    <w:rsid w:val="0096341D"/>
    <w:rsid w:val="00964108"/>
    <w:rsid w:val="00964882"/>
    <w:rsid w:val="009678EF"/>
    <w:rsid w:val="009702C0"/>
    <w:rsid w:val="00972737"/>
    <w:rsid w:val="00972D10"/>
    <w:rsid w:val="00974E85"/>
    <w:rsid w:val="00975526"/>
    <w:rsid w:val="00976894"/>
    <w:rsid w:val="009773DB"/>
    <w:rsid w:val="00977F6D"/>
    <w:rsid w:val="0098013A"/>
    <w:rsid w:val="0098095B"/>
    <w:rsid w:val="00980CE5"/>
    <w:rsid w:val="00981293"/>
    <w:rsid w:val="009816BB"/>
    <w:rsid w:val="00982B42"/>
    <w:rsid w:val="00984168"/>
    <w:rsid w:val="0098473F"/>
    <w:rsid w:val="00986130"/>
    <w:rsid w:val="009875FE"/>
    <w:rsid w:val="00987946"/>
    <w:rsid w:val="00990C32"/>
    <w:rsid w:val="009914DB"/>
    <w:rsid w:val="00991717"/>
    <w:rsid w:val="009918C4"/>
    <w:rsid w:val="00993DD3"/>
    <w:rsid w:val="00993FD3"/>
    <w:rsid w:val="00996086"/>
    <w:rsid w:val="00996A73"/>
    <w:rsid w:val="00997308"/>
    <w:rsid w:val="0099765D"/>
    <w:rsid w:val="009A04D2"/>
    <w:rsid w:val="009A04D7"/>
    <w:rsid w:val="009A21F7"/>
    <w:rsid w:val="009A6828"/>
    <w:rsid w:val="009A72CB"/>
    <w:rsid w:val="009B0025"/>
    <w:rsid w:val="009B115E"/>
    <w:rsid w:val="009B1C5F"/>
    <w:rsid w:val="009B4909"/>
    <w:rsid w:val="009B499F"/>
    <w:rsid w:val="009B54E6"/>
    <w:rsid w:val="009B63E1"/>
    <w:rsid w:val="009B754A"/>
    <w:rsid w:val="009C221B"/>
    <w:rsid w:val="009C310C"/>
    <w:rsid w:val="009C3C41"/>
    <w:rsid w:val="009C42F0"/>
    <w:rsid w:val="009C5D2B"/>
    <w:rsid w:val="009C6B99"/>
    <w:rsid w:val="009C748E"/>
    <w:rsid w:val="009D0A6C"/>
    <w:rsid w:val="009D25BB"/>
    <w:rsid w:val="009D34B8"/>
    <w:rsid w:val="009D45AC"/>
    <w:rsid w:val="009D7C16"/>
    <w:rsid w:val="009E280D"/>
    <w:rsid w:val="009E28AB"/>
    <w:rsid w:val="009E2AE4"/>
    <w:rsid w:val="009E3192"/>
    <w:rsid w:val="009E3F33"/>
    <w:rsid w:val="009E454B"/>
    <w:rsid w:val="009E4F62"/>
    <w:rsid w:val="009E62C3"/>
    <w:rsid w:val="009E77CE"/>
    <w:rsid w:val="009E7E61"/>
    <w:rsid w:val="009F0C48"/>
    <w:rsid w:val="009F1AC6"/>
    <w:rsid w:val="009F2126"/>
    <w:rsid w:val="009F3D52"/>
    <w:rsid w:val="009F4263"/>
    <w:rsid w:val="009F46DE"/>
    <w:rsid w:val="009F5A0C"/>
    <w:rsid w:val="009F5B29"/>
    <w:rsid w:val="009F7053"/>
    <w:rsid w:val="009F7D47"/>
    <w:rsid w:val="009F7DC0"/>
    <w:rsid w:val="00A00218"/>
    <w:rsid w:val="00A01041"/>
    <w:rsid w:val="00A013E6"/>
    <w:rsid w:val="00A01431"/>
    <w:rsid w:val="00A02955"/>
    <w:rsid w:val="00A03B6C"/>
    <w:rsid w:val="00A059CF"/>
    <w:rsid w:val="00A12026"/>
    <w:rsid w:val="00A12434"/>
    <w:rsid w:val="00A12938"/>
    <w:rsid w:val="00A131B2"/>
    <w:rsid w:val="00A14792"/>
    <w:rsid w:val="00A161A9"/>
    <w:rsid w:val="00A20C87"/>
    <w:rsid w:val="00A214E6"/>
    <w:rsid w:val="00A22806"/>
    <w:rsid w:val="00A229B2"/>
    <w:rsid w:val="00A22A71"/>
    <w:rsid w:val="00A236AA"/>
    <w:rsid w:val="00A239C4"/>
    <w:rsid w:val="00A23B3C"/>
    <w:rsid w:val="00A24AE5"/>
    <w:rsid w:val="00A257C6"/>
    <w:rsid w:val="00A27AD2"/>
    <w:rsid w:val="00A31327"/>
    <w:rsid w:val="00A31FBE"/>
    <w:rsid w:val="00A32AD4"/>
    <w:rsid w:val="00A32B42"/>
    <w:rsid w:val="00A340CE"/>
    <w:rsid w:val="00A36636"/>
    <w:rsid w:val="00A41924"/>
    <w:rsid w:val="00A422AD"/>
    <w:rsid w:val="00A434EB"/>
    <w:rsid w:val="00A443E0"/>
    <w:rsid w:val="00A47CE5"/>
    <w:rsid w:val="00A50EF9"/>
    <w:rsid w:val="00A51D94"/>
    <w:rsid w:val="00A51DD3"/>
    <w:rsid w:val="00A540AC"/>
    <w:rsid w:val="00A55022"/>
    <w:rsid w:val="00A567AD"/>
    <w:rsid w:val="00A56829"/>
    <w:rsid w:val="00A61B79"/>
    <w:rsid w:val="00A64355"/>
    <w:rsid w:val="00A64CFB"/>
    <w:rsid w:val="00A660F9"/>
    <w:rsid w:val="00A67F0D"/>
    <w:rsid w:val="00A703A6"/>
    <w:rsid w:val="00A7108D"/>
    <w:rsid w:val="00A71821"/>
    <w:rsid w:val="00A7377F"/>
    <w:rsid w:val="00A7425C"/>
    <w:rsid w:val="00A744AE"/>
    <w:rsid w:val="00A75334"/>
    <w:rsid w:val="00A75AAB"/>
    <w:rsid w:val="00A77C2A"/>
    <w:rsid w:val="00A811E4"/>
    <w:rsid w:val="00A8366F"/>
    <w:rsid w:val="00A83ACD"/>
    <w:rsid w:val="00A86BC1"/>
    <w:rsid w:val="00A87F39"/>
    <w:rsid w:val="00A909F4"/>
    <w:rsid w:val="00A90FFC"/>
    <w:rsid w:val="00A91591"/>
    <w:rsid w:val="00A925B0"/>
    <w:rsid w:val="00A92FF7"/>
    <w:rsid w:val="00A939E3"/>
    <w:rsid w:val="00A93CEE"/>
    <w:rsid w:val="00A940E8"/>
    <w:rsid w:val="00A94F22"/>
    <w:rsid w:val="00A95B52"/>
    <w:rsid w:val="00A95DBF"/>
    <w:rsid w:val="00A97ECB"/>
    <w:rsid w:val="00AA3B58"/>
    <w:rsid w:val="00AA5687"/>
    <w:rsid w:val="00AA77E6"/>
    <w:rsid w:val="00AB22FD"/>
    <w:rsid w:val="00AB2350"/>
    <w:rsid w:val="00AB249C"/>
    <w:rsid w:val="00AB3057"/>
    <w:rsid w:val="00AB3141"/>
    <w:rsid w:val="00AB5EF7"/>
    <w:rsid w:val="00AB609D"/>
    <w:rsid w:val="00AB66B8"/>
    <w:rsid w:val="00AC188E"/>
    <w:rsid w:val="00AC2268"/>
    <w:rsid w:val="00AC27AF"/>
    <w:rsid w:val="00AC2FEB"/>
    <w:rsid w:val="00AC3AA9"/>
    <w:rsid w:val="00AC48A6"/>
    <w:rsid w:val="00AC7102"/>
    <w:rsid w:val="00AC7AA8"/>
    <w:rsid w:val="00AD14E9"/>
    <w:rsid w:val="00AD38CD"/>
    <w:rsid w:val="00AD59B9"/>
    <w:rsid w:val="00AD6639"/>
    <w:rsid w:val="00AD75D8"/>
    <w:rsid w:val="00AD7CAC"/>
    <w:rsid w:val="00AD7DE4"/>
    <w:rsid w:val="00AE3D01"/>
    <w:rsid w:val="00AE4FC4"/>
    <w:rsid w:val="00AE5260"/>
    <w:rsid w:val="00AE5648"/>
    <w:rsid w:val="00AE5CF7"/>
    <w:rsid w:val="00AE5F5F"/>
    <w:rsid w:val="00AE5F7F"/>
    <w:rsid w:val="00AE67B6"/>
    <w:rsid w:val="00AF079D"/>
    <w:rsid w:val="00AF08A4"/>
    <w:rsid w:val="00AF3442"/>
    <w:rsid w:val="00AF49A0"/>
    <w:rsid w:val="00AF5B03"/>
    <w:rsid w:val="00AF5D13"/>
    <w:rsid w:val="00AF6684"/>
    <w:rsid w:val="00AF761E"/>
    <w:rsid w:val="00AF7CFA"/>
    <w:rsid w:val="00B0084E"/>
    <w:rsid w:val="00B021E1"/>
    <w:rsid w:val="00B039FE"/>
    <w:rsid w:val="00B05E13"/>
    <w:rsid w:val="00B05EB7"/>
    <w:rsid w:val="00B06344"/>
    <w:rsid w:val="00B0641E"/>
    <w:rsid w:val="00B071B2"/>
    <w:rsid w:val="00B078A6"/>
    <w:rsid w:val="00B10813"/>
    <w:rsid w:val="00B10F34"/>
    <w:rsid w:val="00B1435B"/>
    <w:rsid w:val="00B14DE9"/>
    <w:rsid w:val="00B17226"/>
    <w:rsid w:val="00B1739F"/>
    <w:rsid w:val="00B17592"/>
    <w:rsid w:val="00B20435"/>
    <w:rsid w:val="00B2082E"/>
    <w:rsid w:val="00B2193F"/>
    <w:rsid w:val="00B21D21"/>
    <w:rsid w:val="00B26215"/>
    <w:rsid w:val="00B2664C"/>
    <w:rsid w:val="00B30D0B"/>
    <w:rsid w:val="00B3176C"/>
    <w:rsid w:val="00B329C0"/>
    <w:rsid w:val="00B333E0"/>
    <w:rsid w:val="00B34169"/>
    <w:rsid w:val="00B35DAF"/>
    <w:rsid w:val="00B37B25"/>
    <w:rsid w:val="00B40DB4"/>
    <w:rsid w:val="00B42EA6"/>
    <w:rsid w:val="00B43529"/>
    <w:rsid w:val="00B441A3"/>
    <w:rsid w:val="00B45828"/>
    <w:rsid w:val="00B459E6"/>
    <w:rsid w:val="00B4788F"/>
    <w:rsid w:val="00B51807"/>
    <w:rsid w:val="00B51D11"/>
    <w:rsid w:val="00B52304"/>
    <w:rsid w:val="00B52E59"/>
    <w:rsid w:val="00B537AA"/>
    <w:rsid w:val="00B54871"/>
    <w:rsid w:val="00B54BEC"/>
    <w:rsid w:val="00B5661B"/>
    <w:rsid w:val="00B568D1"/>
    <w:rsid w:val="00B56F9E"/>
    <w:rsid w:val="00B5771D"/>
    <w:rsid w:val="00B6040F"/>
    <w:rsid w:val="00B60D18"/>
    <w:rsid w:val="00B62BF7"/>
    <w:rsid w:val="00B704DC"/>
    <w:rsid w:val="00B70AB4"/>
    <w:rsid w:val="00B727FC"/>
    <w:rsid w:val="00B7681D"/>
    <w:rsid w:val="00B770F9"/>
    <w:rsid w:val="00B8223C"/>
    <w:rsid w:val="00B82CF7"/>
    <w:rsid w:val="00B82E6C"/>
    <w:rsid w:val="00B83E5B"/>
    <w:rsid w:val="00B840FF"/>
    <w:rsid w:val="00B8418F"/>
    <w:rsid w:val="00B850F5"/>
    <w:rsid w:val="00B85BB5"/>
    <w:rsid w:val="00B85D28"/>
    <w:rsid w:val="00B9132A"/>
    <w:rsid w:val="00B923D8"/>
    <w:rsid w:val="00B924CB"/>
    <w:rsid w:val="00B9671E"/>
    <w:rsid w:val="00BA0BF9"/>
    <w:rsid w:val="00BA1742"/>
    <w:rsid w:val="00BA4265"/>
    <w:rsid w:val="00BA6A1E"/>
    <w:rsid w:val="00BA779B"/>
    <w:rsid w:val="00BB14E3"/>
    <w:rsid w:val="00BB2113"/>
    <w:rsid w:val="00BB4F87"/>
    <w:rsid w:val="00BB6955"/>
    <w:rsid w:val="00BB7076"/>
    <w:rsid w:val="00BC08DE"/>
    <w:rsid w:val="00BC15E9"/>
    <w:rsid w:val="00BC295A"/>
    <w:rsid w:val="00BC31D7"/>
    <w:rsid w:val="00BC5A19"/>
    <w:rsid w:val="00BC7BDB"/>
    <w:rsid w:val="00BC7D06"/>
    <w:rsid w:val="00BD02D1"/>
    <w:rsid w:val="00BD0888"/>
    <w:rsid w:val="00BD2382"/>
    <w:rsid w:val="00BD38A7"/>
    <w:rsid w:val="00BD4CB1"/>
    <w:rsid w:val="00BD5685"/>
    <w:rsid w:val="00BD58EC"/>
    <w:rsid w:val="00BD6426"/>
    <w:rsid w:val="00BD6C5E"/>
    <w:rsid w:val="00BD7122"/>
    <w:rsid w:val="00BD7B28"/>
    <w:rsid w:val="00BE0E4E"/>
    <w:rsid w:val="00BE11CE"/>
    <w:rsid w:val="00BE1F7A"/>
    <w:rsid w:val="00BE53BD"/>
    <w:rsid w:val="00BE55AD"/>
    <w:rsid w:val="00BE5AE9"/>
    <w:rsid w:val="00BE619B"/>
    <w:rsid w:val="00BE7431"/>
    <w:rsid w:val="00BE782B"/>
    <w:rsid w:val="00BF004A"/>
    <w:rsid w:val="00BF1472"/>
    <w:rsid w:val="00BF1F32"/>
    <w:rsid w:val="00BF208A"/>
    <w:rsid w:val="00BF2F72"/>
    <w:rsid w:val="00BF369A"/>
    <w:rsid w:val="00BF3E51"/>
    <w:rsid w:val="00BF4366"/>
    <w:rsid w:val="00BF495E"/>
    <w:rsid w:val="00BF5015"/>
    <w:rsid w:val="00BF7CA8"/>
    <w:rsid w:val="00BF7F5D"/>
    <w:rsid w:val="00C000E6"/>
    <w:rsid w:val="00C0041F"/>
    <w:rsid w:val="00C03B29"/>
    <w:rsid w:val="00C0439B"/>
    <w:rsid w:val="00C070F9"/>
    <w:rsid w:val="00C075E0"/>
    <w:rsid w:val="00C10A53"/>
    <w:rsid w:val="00C11B1A"/>
    <w:rsid w:val="00C126A4"/>
    <w:rsid w:val="00C13846"/>
    <w:rsid w:val="00C1558A"/>
    <w:rsid w:val="00C16B44"/>
    <w:rsid w:val="00C16E65"/>
    <w:rsid w:val="00C249BE"/>
    <w:rsid w:val="00C24B4C"/>
    <w:rsid w:val="00C26C1D"/>
    <w:rsid w:val="00C2701F"/>
    <w:rsid w:val="00C27FED"/>
    <w:rsid w:val="00C31A4C"/>
    <w:rsid w:val="00C409F2"/>
    <w:rsid w:val="00C40EFF"/>
    <w:rsid w:val="00C42564"/>
    <w:rsid w:val="00C426BD"/>
    <w:rsid w:val="00C43613"/>
    <w:rsid w:val="00C46458"/>
    <w:rsid w:val="00C50F27"/>
    <w:rsid w:val="00C561A1"/>
    <w:rsid w:val="00C57185"/>
    <w:rsid w:val="00C576DE"/>
    <w:rsid w:val="00C57C2D"/>
    <w:rsid w:val="00C601F8"/>
    <w:rsid w:val="00C60374"/>
    <w:rsid w:val="00C61701"/>
    <w:rsid w:val="00C65F10"/>
    <w:rsid w:val="00C674CF"/>
    <w:rsid w:val="00C705FA"/>
    <w:rsid w:val="00C70EEE"/>
    <w:rsid w:val="00C72E0F"/>
    <w:rsid w:val="00C73001"/>
    <w:rsid w:val="00C74AE7"/>
    <w:rsid w:val="00C74CE6"/>
    <w:rsid w:val="00C750F1"/>
    <w:rsid w:val="00C75D0D"/>
    <w:rsid w:val="00C767F3"/>
    <w:rsid w:val="00C77592"/>
    <w:rsid w:val="00C775F0"/>
    <w:rsid w:val="00C77A9D"/>
    <w:rsid w:val="00C77D07"/>
    <w:rsid w:val="00C826A9"/>
    <w:rsid w:val="00C8459E"/>
    <w:rsid w:val="00C86BCB"/>
    <w:rsid w:val="00C920FA"/>
    <w:rsid w:val="00C9220E"/>
    <w:rsid w:val="00C9312C"/>
    <w:rsid w:val="00C93C64"/>
    <w:rsid w:val="00C959F6"/>
    <w:rsid w:val="00C97B27"/>
    <w:rsid w:val="00CA54D2"/>
    <w:rsid w:val="00CA69C5"/>
    <w:rsid w:val="00CB2000"/>
    <w:rsid w:val="00CB2555"/>
    <w:rsid w:val="00CB2961"/>
    <w:rsid w:val="00CB3D5A"/>
    <w:rsid w:val="00CB621C"/>
    <w:rsid w:val="00CB7057"/>
    <w:rsid w:val="00CC02F2"/>
    <w:rsid w:val="00CC13CF"/>
    <w:rsid w:val="00CC2AD4"/>
    <w:rsid w:val="00CC2DBD"/>
    <w:rsid w:val="00CC33AC"/>
    <w:rsid w:val="00CC39D0"/>
    <w:rsid w:val="00CC3A27"/>
    <w:rsid w:val="00CC444E"/>
    <w:rsid w:val="00CC69FA"/>
    <w:rsid w:val="00CC6B34"/>
    <w:rsid w:val="00CC7127"/>
    <w:rsid w:val="00CD09B4"/>
    <w:rsid w:val="00CD193F"/>
    <w:rsid w:val="00CD239D"/>
    <w:rsid w:val="00CD6EE8"/>
    <w:rsid w:val="00CD7773"/>
    <w:rsid w:val="00CE1024"/>
    <w:rsid w:val="00CE2312"/>
    <w:rsid w:val="00CE5223"/>
    <w:rsid w:val="00CE5339"/>
    <w:rsid w:val="00CE691B"/>
    <w:rsid w:val="00CE7437"/>
    <w:rsid w:val="00CE78B9"/>
    <w:rsid w:val="00CF02C2"/>
    <w:rsid w:val="00CF0BA0"/>
    <w:rsid w:val="00CF2EEF"/>
    <w:rsid w:val="00CF464F"/>
    <w:rsid w:val="00CF48A1"/>
    <w:rsid w:val="00CF50D7"/>
    <w:rsid w:val="00CF5CD9"/>
    <w:rsid w:val="00CF67F1"/>
    <w:rsid w:val="00D004DE"/>
    <w:rsid w:val="00D01E73"/>
    <w:rsid w:val="00D029A4"/>
    <w:rsid w:val="00D030F7"/>
    <w:rsid w:val="00D0314D"/>
    <w:rsid w:val="00D05F0E"/>
    <w:rsid w:val="00D06A95"/>
    <w:rsid w:val="00D06AAE"/>
    <w:rsid w:val="00D0778D"/>
    <w:rsid w:val="00D11072"/>
    <w:rsid w:val="00D1313E"/>
    <w:rsid w:val="00D13DA8"/>
    <w:rsid w:val="00D16244"/>
    <w:rsid w:val="00D1676A"/>
    <w:rsid w:val="00D21084"/>
    <w:rsid w:val="00D223B2"/>
    <w:rsid w:val="00D2261E"/>
    <w:rsid w:val="00D2503E"/>
    <w:rsid w:val="00D264D5"/>
    <w:rsid w:val="00D2665C"/>
    <w:rsid w:val="00D267E9"/>
    <w:rsid w:val="00D31A22"/>
    <w:rsid w:val="00D31D83"/>
    <w:rsid w:val="00D31F8A"/>
    <w:rsid w:val="00D32CD6"/>
    <w:rsid w:val="00D33E6D"/>
    <w:rsid w:val="00D355AF"/>
    <w:rsid w:val="00D36AA3"/>
    <w:rsid w:val="00D36CF7"/>
    <w:rsid w:val="00D37677"/>
    <w:rsid w:val="00D40334"/>
    <w:rsid w:val="00D4081D"/>
    <w:rsid w:val="00D41566"/>
    <w:rsid w:val="00D4185E"/>
    <w:rsid w:val="00D41F1D"/>
    <w:rsid w:val="00D424F4"/>
    <w:rsid w:val="00D43297"/>
    <w:rsid w:val="00D448A6"/>
    <w:rsid w:val="00D5048D"/>
    <w:rsid w:val="00D50E3E"/>
    <w:rsid w:val="00D515BB"/>
    <w:rsid w:val="00D51EFA"/>
    <w:rsid w:val="00D548EC"/>
    <w:rsid w:val="00D561CA"/>
    <w:rsid w:val="00D56913"/>
    <w:rsid w:val="00D6062B"/>
    <w:rsid w:val="00D6138B"/>
    <w:rsid w:val="00D61E00"/>
    <w:rsid w:val="00D637DD"/>
    <w:rsid w:val="00D63F5A"/>
    <w:rsid w:val="00D66BE2"/>
    <w:rsid w:val="00D704B3"/>
    <w:rsid w:val="00D70B9C"/>
    <w:rsid w:val="00D71AF2"/>
    <w:rsid w:val="00D73671"/>
    <w:rsid w:val="00D74914"/>
    <w:rsid w:val="00D74C71"/>
    <w:rsid w:val="00D76110"/>
    <w:rsid w:val="00D765FC"/>
    <w:rsid w:val="00D77428"/>
    <w:rsid w:val="00D77EC9"/>
    <w:rsid w:val="00D81DC0"/>
    <w:rsid w:val="00D8264B"/>
    <w:rsid w:val="00D86081"/>
    <w:rsid w:val="00D9028D"/>
    <w:rsid w:val="00D91328"/>
    <w:rsid w:val="00D91F21"/>
    <w:rsid w:val="00D935CD"/>
    <w:rsid w:val="00D94273"/>
    <w:rsid w:val="00D944A0"/>
    <w:rsid w:val="00D946E9"/>
    <w:rsid w:val="00D965A8"/>
    <w:rsid w:val="00DA1173"/>
    <w:rsid w:val="00DA365A"/>
    <w:rsid w:val="00DA5F06"/>
    <w:rsid w:val="00DA7EB6"/>
    <w:rsid w:val="00DB01EA"/>
    <w:rsid w:val="00DB1008"/>
    <w:rsid w:val="00DB2502"/>
    <w:rsid w:val="00DB45CC"/>
    <w:rsid w:val="00DB6D11"/>
    <w:rsid w:val="00DB7E41"/>
    <w:rsid w:val="00DC06AC"/>
    <w:rsid w:val="00DC110A"/>
    <w:rsid w:val="00DC1BF6"/>
    <w:rsid w:val="00DC2FDC"/>
    <w:rsid w:val="00DC3A4D"/>
    <w:rsid w:val="00DC4A9B"/>
    <w:rsid w:val="00DC4FA6"/>
    <w:rsid w:val="00DC500F"/>
    <w:rsid w:val="00DC6855"/>
    <w:rsid w:val="00DC76AE"/>
    <w:rsid w:val="00DD230C"/>
    <w:rsid w:val="00DD2358"/>
    <w:rsid w:val="00DD447E"/>
    <w:rsid w:val="00DD4719"/>
    <w:rsid w:val="00DD6937"/>
    <w:rsid w:val="00DD6E5B"/>
    <w:rsid w:val="00DD727F"/>
    <w:rsid w:val="00DD7398"/>
    <w:rsid w:val="00DD7997"/>
    <w:rsid w:val="00DE0520"/>
    <w:rsid w:val="00DE0C34"/>
    <w:rsid w:val="00DE2DF3"/>
    <w:rsid w:val="00DE3B31"/>
    <w:rsid w:val="00DE3BA7"/>
    <w:rsid w:val="00DE5384"/>
    <w:rsid w:val="00DE6AB5"/>
    <w:rsid w:val="00DE7014"/>
    <w:rsid w:val="00DE75DA"/>
    <w:rsid w:val="00DE79C5"/>
    <w:rsid w:val="00DF1239"/>
    <w:rsid w:val="00DF18EC"/>
    <w:rsid w:val="00DF19C0"/>
    <w:rsid w:val="00DF4023"/>
    <w:rsid w:val="00DF52FA"/>
    <w:rsid w:val="00DF57EF"/>
    <w:rsid w:val="00DF5F3C"/>
    <w:rsid w:val="00DF667F"/>
    <w:rsid w:val="00DF6C28"/>
    <w:rsid w:val="00E00AB8"/>
    <w:rsid w:val="00E00B48"/>
    <w:rsid w:val="00E0130E"/>
    <w:rsid w:val="00E01675"/>
    <w:rsid w:val="00E02B31"/>
    <w:rsid w:val="00E030EE"/>
    <w:rsid w:val="00E07CC4"/>
    <w:rsid w:val="00E108C3"/>
    <w:rsid w:val="00E11664"/>
    <w:rsid w:val="00E11F03"/>
    <w:rsid w:val="00E120B6"/>
    <w:rsid w:val="00E120B9"/>
    <w:rsid w:val="00E124D0"/>
    <w:rsid w:val="00E13758"/>
    <w:rsid w:val="00E1381E"/>
    <w:rsid w:val="00E148F3"/>
    <w:rsid w:val="00E1515F"/>
    <w:rsid w:val="00E151DA"/>
    <w:rsid w:val="00E15382"/>
    <w:rsid w:val="00E207BE"/>
    <w:rsid w:val="00E20944"/>
    <w:rsid w:val="00E21714"/>
    <w:rsid w:val="00E2203F"/>
    <w:rsid w:val="00E238A2"/>
    <w:rsid w:val="00E23BBB"/>
    <w:rsid w:val="00E24F54"/>
    <w:rsid w:val="00E26404"/>
    <w:rsid w:val="00E3243B"/>
    <w:rsid w:val="00E32FD8"/>
    <w:rsid w:val="00E335D8"/>
    <w:rsid w:val="00E33707"/>
    <w:rsid w:val="00E34005"/>
    <w:rsid w:val="00E3521D"/>
    <w:rsid w:val="00E35248"/>
    <w:rsid w:val="00E3663F"/>
    <w:rsid w:val="00E367AE"/>
    <w:rsid w:val="00E37606"/>
    <w:rsid w:val="00E40821"/>
    <w:rsid w:val="00E413AB"/>
    <w:rsid w:val="00E43055"/>
    <w:rsid w:val="00E43274"/>
    <w:rsid w:val="00E43453"/>
    <w:rsid w:val="00E44892"/>
    <w:rsid w:val="00E46489"/>
    <w:rsid w:val="00E4665E"/>
    <w:rsid w:val="00E47E75"/>
    <w:rsid w:val="00E50184"/>
    <w:rsid w:val="00E52B86"/>
    <w:rsid w:val="00E53F38"/>
    <w:rsid w:val="00E54910"/>
    <w:rsid w:val="00E55FB4"/>
    <w:rsid w:val="00E561C6"/>
    <w:rsid w:val="00E613E4"/>
    <w:rsid w:val="00E64E71"/>
    <w:rsid w:val="00E650E4"/>
    <w:rsid w:val="00E67EC0"/>
    <w:rsid w:val="00E7090F"/>
    <w:rsid w:val="00E73E35"/>
    <w:rsid w:val="00E756D1"/>
    <w:rsid w:val="00E80597"/>
    <w:rsid w:val="00E807BA"/>
    <w:rsid w:val="00E80962"/>
    <w:rsid w:val="00E80F7E"/>
    <w:rsid w:val="00E8164C"/>
    <w:rsid w:val="00E82B5F"/>
    <w:rsid w:val="00E830A6"/>
    <w:rsid w:val="00E83556"/>
    <w:rsid w:val="00E83F3E"/>
    <w:rsid w:val="00E857DA"/>
    <w:rsid w:val="00E908C3"/>
    <w:rsid w:val="00E90D94"/>
    <w:rsid w:val="00E90E76"/>
    <w:rsid w:val="00E91EF3"/>
    <w:rsid w:val="00E93173"/>
    <w:rsid w:val="00E95194"/>
    <w:rsid w:val="00E96F65"/>
    <w:rsid w:val="00EA066E"/>
    <w:rsid w:val="00EA0F8F"/>
    <w:rsid w:val="00EA5BBB"/>
    <w:rsid w:val="00EA7A53"/>
    <w:rsid w:val="00EB06FA"/>
    <w:rsid w:val="00EB0789"/>
    <w:rsid w:val="00EB08C4"/>
    <w:rsid w:val="00EB10A7"/>
    <w:rsid w:val="00EB2328"/>
    <w:rsid w:val="00EB48A2"/>
    <w:rsid w:val="00EB49BC"/>
    <w:rsid w:val="00EB6085"/>
    <w:rsid w:val="00EB6DE7"/>
    <w:rsid w:val="00EB6FB6"/>
    <w:rsid w:val="00EB71F5"/>
    <w:rsid w:val="00EC0FC6"/>
    <w:rsid w:val="00EC197C"/>
    <w:rsid w:val="00EC5F1A"/>
    <w:rsid w:val="00ED24BF"/>
    <w:rsid w:val="00ED4442"/>
    <w:rsid w:val="00ED574F"/>
    <w:rsid w:val="00ED694A"/>
    <w:rsid w:val="00ED76D9"/>
    <w:rsid w:val="00ED77F1"/>
    <w:rsid w:val="00EE19B3"/>
    <w:rsid w:val="00EE2372"/>
    <w:rsid w:val="00EE3343"/>
    <w:rsid w:val="00EF0DF0"/>
    <w:rsid w:val="00EF1559"/>
    <w:rsid w:val="00EF3E61"/>
    <w:rsid w:val="00EF64D9"/>
    <w:rsid w:val="00F0398D"/>
    <w:rsid w:val="00F041CF"/>
    <w:rsid w:val="00F0434D"/>
    <w:rsid w:val="00F0449C"/>
    <w:rsid w:val="00F060A4"/>
    <w:rsid w:val="00F06124"/>
    <w:rsid w:val="00F07523"/>
    <w:rsid w:val="00F1269D"/>
    <w:rsid w:val="00F132D8"/>
    <w:rsid w:val="00F169CF"/>
    <w:rsid w:val="00F16B10"/>
    <w:rsid w:val="00F20BFD"/>
    <w:rsid w:val="00F21810"/>
    <w:rsid w:val="00F222D2"/>
    <w:rsid w:val="00F231AB"/>
    <w:rsid w:val="00F2375D"/>
    <w:rsid w:val="00F23C81"/>
    <w:rsid w:val="00F2489F"/>
    <w:rsid w:val="00F24BB1"/>
    <w:rsid w:val="00F2618E"/>
    <w:rsid w:val="00F27B29"/>
    <w:rsid w:val="00F27BAC"/>
    <w:rsid w:val="00F304EE"/>
    <w:rsid w:val="00F31887"/>
    <w:rsid w:val="00F35671"/>
    <w:rsid w:val="00F3592B"/>
    <w:rsid w:val="00F366CF"/>
    <w:rsid w:val="00F366DA"/>
    <w:rsid w:val="00F400C4"/>
    <w:rsid w:val="00F40A43"/>
    <w:rsid w:val="00F40EFC"/>
    <w:rsid w:val="00F40F15"/>
    <w:rsid w:val="00F41539"/>
    <w:rsid w:val="00F41E90"/>
    <w:rsid w:val="00F44906"/>
    <w:rsid w:val="00F463F0"/>
    <w:rsid w:val="00F46B42"/>
    <w:rsid w:val="00F4710F"/>
    <w:rsid w:val="00F505B2"/>
    <w:rsid w:val="00F53A81"/>
    <w:rsid w:val="00F53E1D"/>
    <w:rsid w:val="00F5434E"/>
    <w:rsid w:val="00F57750"/>
    <w:rsid w:val="00F57D8D"/>
    <w:rsid w:val="00F60D82"/>
    <w:rsid w:val="00F60E88"/>
    <w:rsid w:val="00F60EA7"/>
    <w:rsid w:val="00F617B7"/>
    <w:rsid w:val="00F62BE1"/>
    <w:rsid w:val="00F62DA5"/>
    <w:rsid w:val="00F641A4"/>
    <w:rsid w:val="00F70724"/>
    <w:rsid w:val="00F735B0"/>
    <w:rsid w:val="00F73B29"/>
    <w:rsid w:val="00F757F6"/>
    <w:rsid w:val="00F75E84"/>
    <w:rsid w:val="00F7655D"/>
    <w:rsid w:val="00F76827"/>
    <w:rsid w:val="00F823B7"/>
    <w:rsid w:val="00F82B69"/>
    <w:rsid w:val="00F8331E"/>
    <w:rsid w:val="00F84984"/>
    <w:rsid w:val="00F84A95"/>
    <w:rsid w:val="00F85193"/>
    <w:rsid w:val="00F85296"/>
    <w:rsid w:val="00F86321"/>
    <w:rsid w:val="00F90437"/>
    <w:rsid w:val="00F91188"/>
    <w:rsid w:val="00F911C5"/>
    <w:rsid w:val="00F928A1"/>
    <w:rsid w:val="00F94150"/>
    <w:rsid w:val="00F94B1A"/>
    <w:rsid w:val="00F94D75"/>
    <w:rsid w:val="00F9546C"/>
    <w:rsid w:val="00F96738"/>
    <w:rsid w:val="00F96CF9"/>
    <w:rsid w:val="00F97B72"/>
    <w:rsid w:val="00FA10A8"/>
    <w:rsid w:val="00FA1427"/>
    <w:rsid w:val="00FA45BA"/>
    <w:rsid w:val="00FA4B03"/>
    <w:rsid w:val="00FA5296"/>
    <w:rsid w:val="00FA6F2E"/>
    <w:rsid w:val="00FB091D"/>
    <w:rsid w:val="00FB1F93"/>
    <w:rsid w:val="00FB48DF"/>
    <w:rsid w:val="00FB4F3E"/>
    <w:rsid w:val="00FB5972"/>
    <w:rsid w:val="00FB632F"/>
    <w:rsid w:val="00FC07D0"/>
    <w:rsid w:val="00FC3256"/>
    <w:rsid w:val="00FC3BAF"/>
    <w:rsid w:val="00FC5824"/>
    <w:rsid w:val="00FC5D22"/>
    <w:rsid w:val="00FC741D"/>
    <w:rsid w:val="00FD01BA"/>
    <w:rsid w:val="00FD0CA5"/>
    <w:rsid w:val="00FD4012"/>
    <w:rsid w:val="00FD5854"/>
    <w:rsid w:val="00FD62D7"/>
    <w:rsid w:val="00FD713D"/>
    <w:rsid w:val="00FE03B4"/>
    <w:rsid w:val="00FE20F3"/>
    <w:rsid w:val="00FE3F6F"/>
    <w:rsid w:val="00FE3FC8"/>
    <w:rsid w:val="00FE4D45"/>
    <w:rsid w:val="00FE5F0C"/>
    <w:rsid w:val="00FF0A91"/>
    <w:rsid w:val="00FF4F25"/>
    <w:rsid w:val="00FF5079"/>
    <w:rsid w:val="00FF50FB"/>
    <w:rsid w:val="00FF6B57"/>
    <w:rsid w:val="01262A4D"/>
    <w:rsid w:val="0161650D"/>
    <w:rsid w:val="016D1684"/>
    <w:rsid w:val="01B04500"/>
    <w:rsid w:val="01B31E16"/>
    <w:rsid w:val="01D04E93"/>
    <w:rsid w:val="01D7158D"/>
    <w:rsid w:val="01D8699E"/>
    <w:rsid w:val="01DC52B1"/>
    <w:rsid w:val="01EE746E"/>
    <w:rsid w:val="02017DCB"/>
    <w:rsid w:val="022B1E95"/>
    <w:rsid w:val="0256197E"/>
    <w:rsid w:val="026F1FE6"/>
    <w:rsid w:val="027B7754"/>
    <w:rsid w:val="02D84F28"/>
    <w:rsid w:val="03262267"/>
    <w:rsid w:val="033B490A"/>
    <w:rsid w:val="03794AF6"/>
    <w:rsid w:val="039D3BE2"/>
    <w:rsid w:val="03B965CA"/>
    <w:rsid w:val="03D32B17"/>
    <w:rsid w:val="03D64FF9"/>
    <w:rsid w:val="03DF51D8"/>
    <w:rsid w:val="03E46A7F"/>
    <w:rsid w:val="03F30799"/>
    <w:rsid w:val="04245CC6"/>
    <w:rsid w:val="0432090D"/>
    <w:rsid w:val="04475648"/>
    <w:rsid w:val="04506807"/>
    <w:rsid w:val="04714F72"/>
    <w:rsid w:val="04736200"/>
    <w:rsid w:val="047550DB"/>
    <w:rsid w:val="0480214A"/>
    <w:rsid w:val="0484318E"/>
    <w:rsid w:val="04B0361E"/>
    <w:rsid w:val="04EB11FE"/>
    <w:rsid w:val="04EE1776"/>
    <w:rsid w:val="051B544B"/>
    <w:rsid w:val="053640B5"/>
    <w:rsid w:val="05486A95"/>
    <w:rsid w:val="055F06CF"/>
    <w:rsid w:val="05A2203A"/>
    <w:rsid w:val="05C757C1"/>
    <w:rsid w:val="05E41D15"/>
    <w:rsid w:val="06211E21"/>
    <w:rsid w:val="063F2AE5"/>
    <w:rsid w:val="066D4CE1"/>
    <w:rsid w:val="067B477F"/>
    <w:rsid w:val="068C498F"/>
    <w:rsid w:val="06D53BB9"/>
    <w:rsid w:val="06E74A42"/>
    <w:rsid w:val="07031F83"/>
    <w:rsid w:val="073F25B6"/>
    <w:rsid w:val="07477166"/>
    <w:rsid w:val="07504230"/>
    <w:rsid w:val="078253F5"/>
    <w:rsid w:val="07A2518C"/>
    <w:rsid w:val="07A357FE"/>
    <w:rsid w:val="07C70A58"/>
    <w:rsid w:val="080169B3"/>
    <w:rsid w:val="08207AF6"/>
    <w:rsid w:val="085F2844"/>
    <w:rsid w:val="08705E11"/>
    <w:rsid w:val="088A0411"/>
    <w:rsid w:val="08B00A92"/>
    <w:rsid w:val="08C33C1A"/>
    <w:rsid w:val="08C74F07"/>
    <w:rsid w:val="09010D19"/>
    <w:rsid w:val="09431C6A"/>
    <w:rsid w:val="094927F4"/>
    <w:rsid w:val="095728A7"/>
    <w:rsid w:val="097A15A5"/>
    <w:rsid w:val="097B69AA"/>
    <w:rsid w:val="0A01649D"/>
    <w:rsid w:val="0A1B2F95"/>
    <w:rsid w:val="0A323123"/>
    <w:rsid w:val="0A404975"/>
    <w:rsid w:val="0A447109"/>
    <w:rsid w:val="0A600A2A"/>
    <w:rsid w:val="0A6157BC"/>
    <w:rsid w:val="0A870ACB"/>
    <w:rsid w:val="0A8A634D"/>
    <w:rsid w:val="0A93098D"/>
    <w:rsid w:val="0ABC6CD0"/>
    <w:rsid w:val="0AFB6637"/>
    <w:rsid w:val="0B0B71FB"/>
    <w:rsid w:val="0B1D6FB2"/>
    <w:rsid w:val="0B5770F6"/>
    <w:rsid w:val="0B7A1E23"/>
    <w:rsid w:val="0BC71450"/>
    <w:rsid w:val="0BC86BCC"/>
    <w:rsid w:val="0BD3774E"/>
    <w:rsid w:val="0BE923B6"/>
    <w:rsid w:val="0BFD0227"/>
    <w:rsid w:val="0C0A5D32"/>
    <w:rsid w:val="0C3C1AF2"/>
    <w:rsid w:val="0C490150"/>
    <w:rsid w:val="0C4C7806"/>
    <w:rsid w:val="0C555206"/>
    <w:rsid w:val="0CA60F8C"/>
    <w:rsid w:val="0CAA54C3"/>
    <w:rsid w:val="0CB3607A"/>
    <w:rsid w:val="0CE210A5"/>
    <w:rsid w:val="0CF4794F"/>
    <w:rsid w:val="0CFB5904"/>
    <w:rsid w:val="0D28396F"/>
    <w:rsid w:val="0D462C02"/>
    <w:rsid w:val="0D4865F8"/>
    <w:rsid w:val="0D5E4110"/>
    <w:rsid w:val="0D9E1D82"/>
    <w:rsid w:val="0DCD4866"/>
    <w:rsid w:val="0DF00FC3"/>
    <w:rsid w:val="0E1E0E21"/>
    <w:rsid w:val="0E3A25E6"/>
    <w:rsid w:val="0E487F11"/>
    <w:rsid w:val="0E5E4C01"/>
    <w:rsid w:val="0E75179E"/>
    <w:rsid w:val="0E764519"/>
    <w:rsid w:val="0E8148E9"/>
    <w:rsid w:val="0EA04BBD"/>
    <w:rsid w:val="0EA66AFA"/>
    <w:rsid w:val="0EFC36E5"/>
    <w:rsid w:val="0F012521"/>
    <w:rsid w:val="0F293B2D"/>
    <w:rsid w:val="0F4245AA"/>
    <w:rsid w:val="0F4944C8"/>
    <w:rsid w:val="0F856D7C"/>
    <w:rsid w:val="0FA40C66"/>
    <w:rsid w:val="0FBA1C19"/>
    <w:rsid w:val="0FD72864"/>
    <w:rsid w:val="0FE76BBC"/>
    <w:rsid w:val="1012149F"/>
    <w:rsid w:val="1050255E"/>
    <w:rsid w:val="10800731"/>
    <w:rsid w:val="108A6DCE"/>
    <w:rsid w:val="1099262B"/>
    <w:rsid w:val="10BD2C31"/>
    <w:rsid w:val="10E72B9F"/>
    <w:rsid w:val="10EE7DD4"/>
    <w:rsid w:val="10F11000"/>
    <w:rsid w:val="10F82D2F"/>
    <w:rsid w:val="11174D13"/>
    <w:rsid w:val="111928D1"/>
    <w:rsid w:val="11245A43"/>
    <w:rsid w:val="11271609"/>
    <w:rsid w:val="113A53C4"/>
    <w:rsid w:val="11423E5F"/>
    <w:rsid w:val="114C29E8"/>
    <w:rsid w:val="11512744"/>
    <w:rsid w:val="1154104B"/>
    <w:rsid w:val="117E6776"/>
    <w:rsid w:val="120E1EDE"/>
    <w:rsid w:val="12334244"/>
    <w:rsid w:val="1243265A"/>
    <w:rsid w:val="124A7543"/>
    <w:rsid w:val="12521F00"/>
    <w:rsid w:val="12546914"/>
    <w:rsid w:val="125760D4"/>
    <w:rsid w:val="12A57404"/>
    <w:rsid w:val="12CC0349"/>
    <w:rsid w:val="12F94796"/>
    <w:rsid w:val="13161848"/>
    <w:rsid w:val="132728CD"/>
    <w:rsid w:val="133A31A2"/>
    <w:rsid w:val="13537CEC"/>
    <w:rsid w:val="137204BA"/>
    <w:rsid w:val="13767B3A"/>
    <w:rsid w:val="13815D15"/>
    <w:rsid w:val="138A48B6"/>
    <w:rsid w:val="1390642F"/>
    <w:rsid w:val="13A17D25"/>
    <w:rsid w:val="13BA35BF"/>
    <w:rsid w:val="13D02B8C"/>
    <w:rsid w:val="13D659BD"/>
    <w:rsid w:val="13E50981"/>
    <w:rsid w:val="13FE0DFE"/>
    <w:rsid w:val="14151EEA"/>
    <w:rsid w:val="142B2AFA"/>
    <w:rsid w:val="145835BA"/>
    <w:rsid w:val="14794309"/>
    <w:rsid w:val="14825712"/>
    <w:rsid w:val="14941145"/>
    <w:rsid w:val="14A718D6"/>
    <w:rsid w:val="14D47AB7"/>
    <w:rsid w:val="14E453C8"/>
    <w:rsid w:val="152D47C3"/>
    <w:rsid w:val="153214D2"/>
    <w:rsid w:val="155B529C"/>
    <w:rsid w:val="15625511"/>
    <w:rsid w:val="158D6722"/>
    <w:rsid w:val="16021394"/>
    <w:rsid w:val="160E0808"/>
    <w:rsid w:val="1649386D"/>
    <w:rsid w:val="16E425C9"/>
    <w:rsid w:val="170E6D43"/>
    <w:rsid w:val="17292C6A"/>
    <w:rsid w:val="17294A6D"/>
    <w:rsid w:val="17322B53"/>
    <w:rsid w:val="17343D68"/>
    <w:rsid w:val="1734459D"/>
    <w:rsid w:val="17786ED9"/>
    <w:rsid w:val="178B60C6"/>
    <w:rsid w:val="17B16E03"/>
    <w:rsid w:val="17B46B20"/>
    <w:rsid w:val="17B63240"/>
    <w:rsid w:val="17BD582B"/>
    <w:rsid w:val="17CE447E"/>
    <w:rsid w:val="17D41B31"/>
    <w:rsid w:val="18067269"/>
    <w:rsid w:val="181B18E0"/>
    <w:rsid w:val="185F4419"/>
    <w:rsid w:val="1889233A"/>
    <w:rsid w:val="189C62C6"/>
    <w:rsid w:val="18A90BB8"/>
    <w:rsid w:val="18D94284"/>
    <w:rsid w:val="18FF4C70"/>
    <w:rsid w:val="19617621"/>
    <w:rsid w:val="196E0DDB"/>
    <w:rsid w:val="1972591D"/>
    <w:rsid w:val="19761650"/>
    <w:rsid w:val="197E5D58"/>
    <w:rsid w:val="19802E78"/>
    <w:rsid w:val="1982352D"/>
    <w:rsid w:val="19A16964"/>
    <w:rsid w:val="19A86598"/>
    <w:rsid w:val="19AE1969"/>
    <w:rsid w:val="19B87DC1"/>
    <w:rsid w:val="1A28357B"/>
    <w:rsid w:val="1A313A49"/>
    <w:rsid w:val="1A6D701B"/>
    <w:rsid w:val="1AC206CF"/>
    <w:rsid w:val="1B240EAD"/>
    <w:rsid w:val="1B25070F"/>
    <w:rsid w:val="1B2F721F"/>
    <w:rsid w:val="1B5B2C64"/>
    <w:rsid w:val="1B6953CB"/>
    <w:rsid w:val="1BC15DD7"/>
    <w:rsid w:val="1BD50603"/>
    <w:rsid w:val="1BDC1602"/>
    <w:rsid w:val="1C340624"/>
    <w:rsid w:val="1C4055EE"/>
    <w:rsid w:val="1C9D505E"/>
    <w:rsid w:val="1CA26601"/>
    <w:rsid w:val="1CE5512D"/>
    <w:rsid w:val="1D636647"/>
    <w:rsid w:val="1D7F24F1"/>
    <w:rsid w:val="1D8A4DF3"/>
    <w:rsid w:val="1D8D6749"/>
    <w:rsid w:val="1DBB2D63"/>
    <w:rsid w:val="1DC6123C"/>
    <w:rsid w:val="1DE61A43"/>
    <w:rsid w:val="1E233BB0"/>
    <w:rsid w:val="1E312728"/>
    <w:rsid w:val="1E362239"/>
    <w:rsid w:val="1E385716"/>
    <w:rsid w:val="1E4303C2"/>
    <w:rsid w:val="1E4B3351"/>
    <w:rsid w:val="1E6418CC"/>
    <w:rsid w:val="1EB308C1"/>
    <w:rsid w:val="1EF95415"/>
    <w:rsid w:val="1EFE6E0C"/>
    <w:rsid w:val="1F101ABE"/>
    <w:rsid w:val="1F3D6927"/>
    <w:rsid w:val="1F405F69"/>
    <w:rsid w:val="1F631378"/>
    <w:rsid w:val="1F687919"/>
    <w:rsid w:val="1F76202E"/>
    <w:rsid w:val="1F8F7E5C"/>
    <w:rsid w:val="1F940CAD"/>
    <w:rsid w:val="1FAB0BDF"/>
    <w:rsid w:val="1FAF701D"/>
    <w:rsid w:val="1FBD20EF"/>
    <w:rsid w:val="1FCC7D6F"/>
    <w:rsid w:val="1FCD656B"/>
    <w:rsid w:val="1FD034F3"/>
    <w:rsid w:val="1FF90C14"/>
    <w:rsid w:val="205273BB"/>
    <w:rsid w:val="206A1A63"/>
    <w:rsid w:val="20746D43"/>
    <w:rsid w:val="20AB27E2"/>
    <w:rsid w:val="20AC4511"/>
    <w:rsid w:val="20BB1D78"/>
    <w:rsid w:val="21021B32"/>
    <w:rsid w:val="21154190"/>
    <w:rsid w:val="21186188"/>
    <w:rsid w:val="2158729D"/>
    <w:rsid w:val="216A15EA"/>
    <w:rsid w:val="21E24AD8"/>
    <w:rsid w:val="221C1DEB"/>
    <w:rsid w:val="222C61A7"/>
    <w:rsid w:val="225228A9"/>
    <w:rsid w:val="22703B15"/>
    <w:rsid w:val="228D497D"/>
    <w:rsid w:val="22AC60C8"/>
    <w:rsid w:val="22DE3259"/>
    <w:rsid w:val="22F00967"/>
    <w:rsid w:val="236408D1"/>
    <w:rsid w:val="237B60CA"/>
    <w:rsid w:val="2387122C"/>
    <w:rsid w:val="23910BEF"/>
    <w:rsid w:val="23DB492D"/>
    <w:rsid w:val="23E4680B"/>
    <w:rsid w:val="2400516C"/>
    <w:rsid w:val="24085A4F"/>
    <w:rsid w:val="240F4B2A"/>
    <w:rsid w:val="241A4A05"/>
    <w:rsid w:val="242A0E1D"/>
    <w:rsid w:val="243C1AFE"/>
    <w:rsid w:val="24CE030D"/>
    <w:rsid w:val="24DC3EAB"/>
    <w:rsid w:val="24E1137A"/>
    <w:rsid w:val="25121BF8"/>
    <w:rsid w:val="253C4217"/>
    <w:rsid w:val="255C2AE1"/>
    <w:rsid w:val="255F2490"/>
    <w:rsid w:val="25D453E1"/>
    <w:rsid w:val="26075B0A"/>
    <w:rsid w:val="26223D84"/>
    <w:rsid w:val="264819A1"/>
    <w:rsid w:val="265C1513"/>
    <w:rsid w:val="2660039C"/>
    <w:rsid w:val="26606D38"/>
    <w:rsid w:val="2664671C"/>
    <w:rsid w:val="26857903"/>
    <w:rsid w:val="26AE6FED"/>
    <w:rsid w:val="26BA5FBA"/>
    <w:rsid w:val="26CC79CE"/>
    <w:rsid w:val="26E55A24"/>
    <w:rsid w:val="26E663EF"/>
    <w:rsid w:val="26F93E83"/>
    <w:rsid w:val="270F6ADD"/>
    <w:rsid w:val="273A478E"/>
    <w:rsid w:val="2741519C"/>
    <w:rsid w:val="275A5444"/>
    <w:rsid w:val="27630099"/>
    <w:rsid w:val="276341AD"/>
    <w:rsid w:val="27683AE1"/>
    <w:rsid w:val="27A978EC"/>
    <w:rsid w:val="27B76B5A"/>
    <w:rsid w:val="27BF2F68"/>
    <w:rsid w:val="27CA6D83"/>
    <w:rsid w:val="27E12375"/>
    <w:rsid w:val="28136A8E"/>
    <w:rsid w:val="28237309"/>
    <w:rsid w:val="284847EE"/>
    <w:rsid w:val="28634B37"/>
    <w:rsid w:val="28863150"/>
    <w:rsid w:val="288F6E9F"/>
    <w:rsid w:val="28FE1EAD"/>
    <w:rsid w:val="29082B64"/>
    <w:rsid w:val="291A5959"/>
    <w:rsid w:val="295E313D"/>
    <w:rsid w:val="29726862"/>
    <w:rsid w:val="29A41DBC"/>
    <w:rsid w:val="29C158BA"/>
    <w:rsid w:val="29E01545"/>
    <w:rsid w:val="29F84E47"/>
    <w:rsid w:val="2A1D79BB"/>
    <w:rsid w:val="2A3E75AD"/>
    <w:rsid w:val="2A972E22"/>
    <w:rsid w:val="2ABF3381"/>
    <w:rsid w:val="2AD670DC"/>
    <w:rsid w:val="2ADE7F85"/>
    <w:rsid w:val="2B1B7216"/>
    <w:rsid w:val="2B3F1BB4"/>
    <w:rsid w:val="2B651481"/>
    <w:rsid w:val="2B963DEC"/>
    <w:rsid w:val="2B9F3F88"/>
    <w:rsid w:val="2BA47FE1"/>
    <w:rsid w:val="2BAC310F"/>
    <w:rsid w:val="2BEF52F3"/>
    <w:rsid w:val="2C0C0ED2"/>
    <w:rsid w:val="2C1852E4"/>
    <w:rsid w:val="2C8B1289"/>
    <w:rsid w:val="2CC16B39"/>
    <w:rsid w:val="2CEC49A4"/>
    <w:rsid w:val="2CF43625"/>
    <w:rsid w:val="2D1437B2"/>
    <w:rsid w:val="2D1903E2"/>
    <w:rsid w:val="2D1E3173"/>
    <w:rsid w:val="2D3421AB"/>
    <w:rsid w:val="2D3C4EF7"/>
    <w:rsid w:val="2D550B77"/>
    <w:rsid w:val="2E4269B1"/>
    <w:rsid w:val="2E486C4F"/>
    <w:rsid w:val="2E6618E5"/>
    <w:rsid w:val="2EA1006E"/>
    <w:rsid w:val="2EA25052"/>
    <w:rsid w:val="2EAF48C6"/>
    <w:rsid w:val="2EE8623C"/>
    <w:rsid w:val="2EEC7E83"/>
    <w:rsid w:val="2EF335AC"/>
    <w:rsid w:val="2F043748"/>
    <w:rsid w:val="2F0B30A1"/>
    <w:rsid w:val="2F4B243D"/>
    <w:rsid w:val="2F522711"/>
    <w:rsid w:val="2F806B20"/>
    <w:rsid w:val="2F867577"/>
    <w:rsid w:val="2F9034C9"/>
    <w:rsid w:val="2FB70894"/>
    <w:rsid w:val="2FE7047C"/>
    <w:rsid w:val="2FF80391"/>
    <w:rsid w:val="301D5D54"/>
    <w:rsid w:val="30370228"/>
    <w:rsid w:val="3044147F"/>
    <w:rsid w:val="30690741"/>
    <w:rsid w:val="306E1479"/>
    <w:rsid w:val="30750496"/>
    <w:rsid w:val="307B30AF"/>
    <w:rsid w:val="30956EBE"/>
    <w:rsid w:val="30C022A0"/>
    <w:rsid w:val="30C3381E"/>
    <w:rsid w:val="30D77998"/>
    <w:rsid w:val="31403EBD"/>
    <w:rsid w:val="31472444"/>
    <w:rsid w:val="319A7585"/>
    <w:rsid w:val="31A81316"/>
    <w:rsid w:val="31C330CE"/>
    <w:rsid w:val="31D32D7D"/>
    <w:rsid w:val="31D42917"/>
    <w:rsid w:val="32282E69"/>
    <w:rsid w:val="3237025A"/>
    <w:rsid w:val="32B1690A"/>
    <w:rsid w:val="32B44A46"/>
    <w:rsid w:val="32B73C26"/>
    <w:rsid w:val="32CF12F7"/>
    <w:rsid w:val="3309466A"/>
    <w:rsid w:val="331329E4"/>
    <w:rsid w:val="333A68C8"/>
    <w:rsid w:val="334350DC"/>
    <w:rsid w:val="334607E7"/>
    <w:rsid w:val="335465E4"/>
    <w:rsid w:val="33756B32"/>
    <w:rsid w:val="33AB3374"/>
    <w:rsid w:val="33B142B7"/>
    <w:rsid w:val="33BE20D0"/>
    <w:rsid w:val="34136F86"/>
    <w:rsid w:val="34582372"/>
    <w:rsid w:val="347822F5"/>
    <w:rsid w:val="347C6B46"/>
    <w:rsid w:val="348C61C4"/>
    <w:rsid w:val="34BD7940"/>
    <w:rsid w:val="34BE5CAA"/>
    <w:rsid w:val="34D23867"/>
    <w:rsid w:val="34D4348E"/>
    <w:rsid w:val="34FD3310"/>
    <w:rsid w:val="353E4EE3"/>
    <w:rsid w:val="3587410B"/>
    <w:rsid w:val="358C4A8A"/>
    <w:rsid w:val="3596698E"/>
    <w:rsid w:val="359E03A3"/>
    <w:rsid w:val="35DB00BD"/>
    <w:rsid w:val="360B4E8E"/>
    <w:rsid w:val="36270398"/>
    <w:rsid w:val="363D08CC"/>
    <w:rsid w:val="36490D51"/>
    <w:rsid w:val="367C559F"/>
    <w:rsid w:val="369030E0"/>
    <w:rsid w:val="369F6D06"/>
    <w:rsid w:val="36AB1CEE"/>
    <w:rsid w:val="36CB3291"/>
    <w:rsid w:val="36D90A1F"/>
    <w:rsid w:val="36E6312A"/>
    <w:rsid w:val="37007ED9"/>
    <w:rsid w:val="37433B9B"/>
    <w:rsid w:val="37BA1243"/>
    <w:rsid w:val="37BA4BDF"/>
    <w:rsid w:val="37BB216B"/>
    <w:rsid w:val="37BC719F"/>
    <w:rsid w:val="37E6496D"/>
    <w:rsid w:val="381973C0"/>
    <w:rsid w:val="383343FC"/>
    <w:rsid w:val="38676C8B"/>
    <w:rsid w:val="386801E6"/>
    <w:rsid w:val="38792449"/>
    <w:rsid w:val="387C2B0E"/>
    <w:rsid w:val="389C3258"/>
    <w:rsid w:val="38A3130A"/>
    <w:rsid w:val="38A5476C"/>
    <w:rsid w:val="38C01FCA"/>
    <w:rsid w:val="38CB7E89"/>
    <w:rsid w:val="38D01637"/>
    <w:rsid w:val="38D03369"/>
    <w:rsid w:val="38D4251F"/>
    <w:rsid w:val="38DC46AE"/>
    <w:rsid w:val="38E451C2"/>
    <w:rsid w:val="390312A2"/>
    <w:rsid w:val="394D7C2B"/>
    <w:rsid w:val="3952595F"/>
    <w:rsid w:val="39650E24"/>
    <w:rsid w:val="397D387E"/>
    <w:rsid w:val="398C5E72"/>
    <w:rsid w:val="39C96790"/>
    <w:rsid w:val="39CB3DA8"/>
    <w:rsid w:val="39CF6825"/>
    <w:rsid w:val="39E65057"/>
    <w:rsid w:val="39F97ED3"/>
    <w:rsid w:val="3A042116"/>
    <w:rsid w:val="3A087D52"/>
    <w:rsid w:val="3A101B16"/>
    <w:rsid w:val="3A176550"/>
    <w:rsid w:val="3A2B22F7"/>
    <w:rsid w:val="3A630BD5"/>
    <w:rsid w:val="3AD3624B"/>
    <w:rsid w:val="3AEA2A44"/>
    <w:rsid w:val="3AFF2C90"/>
    <w:rsid w:val="3AFF4A73"/>
    <w:rsid w:val="3B1523C6"/>
    <w:rsid w:val="3B18752E"/>
    <w:rsid w:val="3B1D1019"/>
    <w:rsid w:val="3B207C1A"/>
    <w:rsid w:val="3B3C0357"/>
    <w:rsid w:val="3B5312FC"/>
    <w:rsid w:val="3B703897"/>
    <w:rsid w:val="3B8F4DE7"/>
    <w:rsid w:val="3B92496B"/>
    <w:rsid w:val="3BB20AA2"/>
    <w:rsid w:val="3BB368FC"/>
    <w:rsid w:val="3BC232AE"/>
    <w:rsid w:val="3BD115E3"/>
    <w:rsid w:val="3BF27BCF"/>
    <w:rsid w:val="3BFF69F6"/>
    <w:rsid w:val="3C29301A"/>
    <w:rsid w:val="3C2A1CC6"/>
    <w:rsid w:val="3C2A3907"/>
    <w:rsid w:val="3C362055"/>
    <w:rsid w:val="3C5B5487"/>
    <w:rsid w:val="3C805A69"/>
    <w:rsid w:val="3C82673E"/>
    <w:rsid w:val="3C890B40"/>
    <w:rsid w:val="3C9A75CD"/>
    <w:rsid w:val="3CA662E8"/>
    <w:rsid w:val="3CAC5196"/>
    <w:rsid w:val="3CBA6CAE"/>
    <w:rsid w:val="3CE257BB"/>
    <w:rsid w:val="3D2A52D3"/>
    <w:rsid w:val="3D347300"/>
    <w:rsid w:val="3D4C44DA"/>
    <w:rsid w:val="3D4E29CB"/>
    <w:rsid w:val="3D780066"/>
    <w:rsid w:val="3DC37E52"/>
    <w:rsid w:val="3DE30437"/>
    <w:rsid w:val="3DE50A89"/>
    <w:rsid w:val="3DEF2AAF"/>
    <w:rsid w:val="3E03718C"/>
    <w:rsid w:val="3E400433"/>
    <w:rsid w:val="3E42243E"/>
    <w:rsid w:val="3E48647A"/>
    <w:rsid w:val="3E5A1D55"/>
    <w:rsid w:val="3E5C1C90"/>
    <w:rsid w:val="3E680ED2"/>
    <w:rsid w:val="3EB916EC"/>
    <w:rsid w:val="3ECA01A1"/>
    <w:rsid w:val="3ED55C02"/>
    <w:rsid w:val="3F063EFF"/>
    <w:rsid w:val="3F100D38"/>
    <w:rsid w:val="3F15473E"/>
    <w:rsid w:val="3F1B4431"/>
    <w:rsid w:val="3F5844C5"/>
    <w:rsid w:val="3FC7317D"/>
    <w:rsid w:val="3FEF086B"/>
    <w:rsid w:val="3FF74BF3"/>
    <w:rsid w:val="400C09CA"/>
    <w:rsid w:val="400F0985"/>
    <w:rsid w:val="40286715"/>
    <w:rsid w:val="40354C7B"/>
    <w:rsid w:val="40380095"/>
    <w:rsid w:val="403C7F31"/>
    <w:rsid w:val="40577FC9"/>
    <w:rsid w:val="40F5414B"/>
    <w:rsid w:val="40FF4AF1"/>
    <w:rsid w:val="41124EE6"/>
    <w:rsid w:val="411C1436"/>
    <w:rsid w:val="412F3326"/>
    <w:rsid w:val="414B7682"/>
    <w:rsid w:val="415228BA"/>
    <w:rsid w:val="41760D1B"/>
    <w:rsid w:val="417C58E1"/>
    <w:rsid w:val="41A814A5"/>
    <w:rsid w:val="41AB3120"/>
    <w:rsid w:val="41F84FF7"/>
    <w:rsid w:val="42B86496"/>
    <w:rsid w:val="42C35217"/>
    <w:rsid w:val="42D7188C"/>
    <w:rsid w:val="42E81CAF"/>
    <w:rsid w:val="43023750"/>
    <w:rsid w:val="430516EA"/>
    <w:rsid w:val="430B1EFC"/>
    <w:rsid w:val="4317322A"/>
    <w:rsid w:val="432E6D6F"/>
    <w:rsid w:val="43305C80"/>
    <w:rsid w:val="435412B8"/>
    <w:rsid w:val="43666252"/>
    <w:rsid w:val="43783D27"/>
    <w:rsid w:val="4390141C"/>
    <w:rsid w:val="43B5765B"/>
    <w:rsid w:val="445648C3"/>
    <w:rsid w:val="44647472"/>
    <w:rsid w:val="44666302"/>
    <w:rsid w:val="44A70428"/>
    <w:rsid w:val="44A72F03"/>
    <w:rsid w:val="45022B85"/>
    <w:rsid w:val="45022D5F"/>
    <w:rsid w:val="45190D07"/>
    <w:rsid w:val="452A085B"/>
    <w:rsid w:val="452C72B7"/>
    <w:rsid w:val="45420324"/>
    <w:rsid w:val="45571DF7"/>
    <w:rsid w:val="4563705D"/>
    <w:rsid w:val="45904ACF"/>
    <w:rsid w:val="45B10782"/>
    <w:rsid w:val="45CC05D8"/>
    <w:rsid w:val="45F95B4D"/>
    <w:rsid w:val="460452A0"/>
    <w:rsid w:val="46135F32"/>
    <w:rsid w:val="46262176"/>
    <w:rsid w:val="4680445C"/>
    <w:rsid w:val="468E4477"/>
    <w:rsid w:val="46911CEA"/>
    <w:rsid w:val="46922D19"/>
    <w:rsid w:val="46DB5B28"/>
    <w:rsid w:val="46DE7987"/>
    <w:rsid w:val="47176D8E"/>
    <w:rsid w:val="4742191A"/>
    <w:rsid w:val="474E1E6C"/>
    <w:rsid w:val="47BD2E26"/>
    <w:rsid w:val="47ED7CEE"/>
    <w:rsid w:val="483C4B9E"/>
    <w:rsid w:val="48447159"/>
    <w:rsid w:val="48677222"/>
    <w:rsid w:val="486977C7"/>
    <w:rsid w:val="48A56E07"/>
    <w:rsid w:val="48E25783"/>
    <w:rsid w:val="48E55B55"/>
    <w:rsid w:val="490B6C14"/>
    <w:rsid w:val="49343FC1"/>
    <w:rsid w:val="49626EB7"/>
    <w:rsid w:val="49742590"/>
    <w:rsid w:val="497547CF"/>
    <w:rsid w:val="49D87E02"/>
    <w:rsid w:val="49DA4936"/>
    <w:rsid w:val="49E1067B"/>
    <w:rsid w:val="49E65E9A"/>
    <w:rsid w:val="49F038BD"/>
    <w:rsid w:val="4A0C6576"/>
    <w:rsid w:val="4A131739"/>
    <w:rsid w:val="4A3F1C6E"/>
    <w:rsid w:val="4A42520C"/>
    <w:rsid w:val="4A5C7A81"/>
    <w:rsid w:val="4A7953F9"/>
    <w:rsid w:val="4A7F7023"/>
    <w:rsid w:val="4A833CCA"/>
    <w:rsid w:val="4A9B20E2"/>
    <w:rsid w:val="4AA27E36"/>
    <w:rsid w:val="4ADF6DFE"/>
    <w:rsid w:val="4ADF7733"/>
    <w:rsid w:val="4AF220B2"/>
    <w:rsid w:val="4B0D3F9B"/>
    <w:rsid w:val="4B1469C0"/>
    <w:rsid w:val="4B2765EA"/>
    <w:rsid w:val="4B2B6CF9"/>
    <w:rsid w:val="4B6005EF"/>
    <w:rsid w:val="4B7F3FBA"/>
    <w:rsid w:val="4B8128F4"/>
    <w:rsid w:val="4B83292A"/>
    <w:rsid w:val="4BD52A4E"/>
    <w:rsid w:val="4BEC5326"/>
    <w:rsid w:val="4C1A29A2"/>
    <w:rsid w:val="4C242FF7"/>
    <w:rsid w:val="4C755D10"/>
    <w:rsid w:val="4CB85404"/>
    <w:rsid w:val="4CC42BA6"/>
    <w:rsid w:val="4CD452CB"/>
    <w:rsid w:val="4CEB1DC3"/>
    <w:rsid w:val="4D04384B"/>
    <w:rsid w:val="4D2D65AC"/>
    <w:rsid w:val="4D3223EC"/>
    <w:rsid w:val="4D7057DD"/>
    <w:rsid w:val="4D98120C"/>
    <w:rsid w:val="4DA402B8"/>
    <w:rsid w:val="4DC32884"/>
    <w:rsid w:val="4DD64716"/>
    <w:rsid w:val="4DE37B55"/>
    <w:rsid w:val="4DF54F33"/>
    <w:rsid w:val="4DF83ADA"/>
    <w:rsid w:val="4DFE7DDE"/>
    <w:rsid w:val="4E472E47"/>
    <w:rsid w:val="4E4B4187"/>
    <w:rsid w:val="4E4E2195"/>
    <w:rsid w:val="4E797966"/>
    <w:rsid w:val="4E896E0B"/>
    <w:rsid w:val="4E897021"/>
    <w:rsid w:val="4E962538"/>
    <w:rsid w:val="4EA0534F"/>
    <w:rsid w:val="4EBD7110"/>
    <w:rsid w:val="4EDB02A0"/>
    <w:rsid w:val="4F074EBE"/>
    <w:rsid w:val="4F490012"/>
    <w:rsid w:val="4F55325D"/>
    <w:rsid w:val="4F655F44"/>
    <w:rsid w:val="4FC75E86"/>
    <w:rsid w:val="4FC9625A"/>
    <w:rsid w:val="4FD219BF"/>
    <w:rsid w:val="4FDD7954"/>
    <w:rsid w:val="4FE40265"/>
    <w:rsid w:val="4FE633EC"/>
    <w:rsid w:val="4FF73DCE"/>
    <w:rsid w:val="50265478"/>
    <w:rsid w:val="502D5AAE"/>
    <w:rsid w:val="502E108E"/>
    <w:rsid w:val="5038327F"/>
    <w:rsid w:val="504F5FB3"/>
    <w:rsid w:val="505F01DE"/>
    <w:rsid w:val="507F2019"/>
    <w:rsid w:val="5085256B"/>
    <w:rsid w:val="50883443"/>
    <w:rsid w:val="50B264B8"/>
    <w:rsid w:val="50DE6724"/>
    <w:rsid w:val="510C3D6B"/>
    <w:rsid w:val="512E73AD"/>
    <w:rsid w:val="51302C35"/>
    <w:rsid w:val="51343071"/>
    <w:rsid w:val="513B7EA1"/>
    <w:rsid w:val="514465DA"/>
    <w:rsid w:val="51523D7D"/>
    <w:rsid w:val="51725C58"/>
    <w:rsid w:val="518A24A0"/>
    <w:rsid w:val="51AD5279"/>
    <w:rsid w:val="51D120F2"/>
    <w:rsid w:val="51D62467"/>
    <w:rsid w:val="51DD04CA"/>
    <w:rsid w:val="522F4687"/>
    <w:rsid w:val="5283494B"/>
    <w:rsid w:val="52DA1F67"/>
    <w:rsid w:val="52DC1233"/>
    <w:rsid w:val="53260AAA"/>
    <w:rsid w:val="53500D51"/>
    <w:rsid w:val="5350481B"/>
    <w:rsid w:val="53805D67"/>
    <w:rsid w:val="539E17A0"/>
    <w:rsid w:val="53B532CF"/>
    <w:rsid w:val="53C515E2"/>
    <w:rsid w:val="53CC502D"/>
    <w:rsid w:val="53DD2A43"/>
    <w:rsid w:val="53F45053"/>
    <w:rsid w:val="53FC01FB"/>
    <w:rsid w:val="54044960"/>
    <w:rsid w:val="541226B6"/>
    <w:rsid w:val="543C54DD"/>
    <w:rsid w:val="54623D30"/>
    <w:rsid w:val="546663A5"/>
    <w:rsid w:val="54684AF8"/>
    <w:rsid w:val="54795CA3"/>
    <w:rsid w:val="548B70F8"/>
    <w:rsid w:val="54952DD2"/>
    <w:rsid w:val="54985012"/>
    <w:rsid w:val="54AA6BFF"/>
    <w:rsid w:val="54AD2A7D"/>
    <w:rsid w:val="54B70DF0"/>
    <w:rsid w:val="54F66DF0"/>
    <w:rsid w:val="55044115"/>
    <w:rsid w:val="55102B21"/>
    <w:rsid w:val="551A04D3"/>
    <w:rsid w:val="552247B5"/>
    <w:rsid w:val="553C20AD"/>
    <w:rsid w:val="557D0674"/>
    <w:rsid w:val="55B436E3"/>
    <w:rsid w:val="55D93EB7"/>
    <w:rsid w:val="562B749E"/>
    <w:rsid w:val="564B2680"/>
    <w:rsid w:val="565D465B"/>
    <w:rsid w:val="566D4B4A"/>
    <w:rsid w:val="5677609D"/>
    <w:rsid w:val="56945F1A"/>
    <w:rsid w:val="56B52743"/>
    <w:rsid w:val="570074C9"/>
    <w:rsid w:val="57413838"/>
    <w:rsid w:val="574B7586"/>
    <w:rsid w:val="574F23F9"/>
    <w:rsid w:val="576C7516"/>
    <w:rsid w:val="57875755"/>
    <w:rsid w:val="579F170B"/>
    <w:rsid w:val="57AB4FF3"/>
    <w:rsid w:val="57DE4B2F"/>
    <w:rsid w:val="580F0828"/>
    <w:rsid w:val="581B2ACA"/>
    <w:rsid w:val="58534B28"/>
    <w:rsid w:val="588C5CB7"/>
    <w:rsid w:val="589B6EE0"/>
    <w:rsid w:val="58AB3A34"/>
    <w:rsid w:val="58E24023"/>
    <w:rsid w:val="58E43783"/>
    <w:rsid w:val="58E86982"/>
    <w:rsid w:val="58F55A69"/>
    <w:rsid w:val="58FB55FE"/>
    <w:rsid w:val="592379E6"/>
    <w:rsid w:val="592A1998"/>
    <w:rsid w:val="5969395A"/>
    <w:rsid w:val="598125F8"/>
    <w:rsid w:val="59882FF0"/>
    <w:rsid w:val="59A60F5A"/>
    <w:rsid w:val="59B94CC4"/>
    <w:rsid w:val="59BB36C4"/>
    <w:rsid w:val="5A091FF8"/>
    <w:rsid w:val="5A0F4F36"/>
    <w:rsid w:val="5A1541AB"/>
    <w:rsid w:val="5A1A1EDB"/>
    <w:rsid w:val="5A2A4B14"/>
    <w:rsid w:val="5A2E1CC0"/>
    <w:rsid w:val="5A2F59C3"/>
    <w:rsid w:val="5A5B5B65"/>
    <w:rsid w:val="5A7C1EC2"/>
    <w:rsid w:val="5AD71A23"/>
    <w:rsid w:val="5ADC40E2"/>
    <w:rsid w:val="5AEF3DDE"/>
    <w:rsid w:val="5AF8583C"/>
    <w:rsid w:val="5AFD2105"/>
    <w:rsid w:val="5B01360B"/>
    <w:rsid w:val="5B14044F"/>
    <w:rsid w:val="5B5C33C7"/>
    <w:rsid w:val="5B846642"/>
    <w:rsid w:val="5B9345DE"/>
    <w:rsid w:val="5B94158A"/>
    <w:rsid w:val="5B9D0974"/>
    <w:rsid w:val="5BBD1564"/>
    <w:rsid w:val="5BC430F1"/>
    <w:rsid w:val="5BE50578"/>
    <w:rsid w:val="5BEC3B59"/>
    <w:rsid w:val="5C1652F9"/>
    <w:rsid w:val="5C9C4FCB"/>
    <w:rsid w:val="5CBD3922"/>
    <w:rsid w:val="5CD71012"/>
    <w:rsid w:val="5CEF72BA"/>
    <w:rsid w:val="5CF70434"/>
    <w:rsid w:val="5D1854CD"/>
    <w:rsid w:val="5D553A95"/>
    <w:rsid w:val="5D62009E"/>
    <w:rsid w:val="5D6A7B0E"/>
    <w:rsid w:val="5D994942"/>
    <w:rsid w:val="5D997FD9"/>
    <w:rsid w:val="5DA3557D"/>
    <w:rsid w:val="5DB700E1"/>
    <w:rsid w:val="5DBB2B4B"/>
    <w:rsid w:val="5DD34AD1"/>
    <w:rsid w:val="5DD80051"/>
    <w:rsid w:val="5DD95F90"/>
    <w:rsid w:val="5DF62F70"/>
    <w:rsid w:val="5E20798B"/>
    <w:rsid w:val="5E356F1F"/>
    <w:rsid w:val="5E4D4722"/>
    <w:rsid w:val="5E6E6249"/>
    <w:rsid w:val="5E7B60DB"/>
    <w:rsid w:val="5E8A188B"/>
    <w:rsid w:val="5EAB3CC7"/>
    <w:rsid w:val="5EB82B7B"/>
    <w:rsid w:val="5EC42611"/>
    <w:rsid w:val="5EF126C0"/>
    <w:rsid w:val="5F090A89"/>
    <w:rsid w:val="5F0D28BD"/>
    <w:rsid w:val="5F4D22BA"/>
    <w:rsid w:val="5F65734B"/>
    <w:rsid w:val="5F99442C"/>
    <w:rsid w:val="5FB742C5"/>
    <w:rsid w:val="5FEE24CA"/>
    <w:rsid w:val="600B4EFB"/>
    <w:rsid w:val="601F4BAF"/>
    <w:rsid w:val="604A23F9"/>
    <w:rsid w:val="60637F52"/>
    <w:rsid w:val="60931426"/>
    <w:rsid w:val="60BC0D77"/>
    <w:rsid w:val="60F95E74"/>
    <w:rsid w:val="610C4ACE"/>
    <w:rsid w:val="612D05BB"/>
    <w:rsid w:val="619418EC"/>
    <w:rsid w:val="61AC418E"/>
    <w:rsid w:val="62044566"/>
    <w:rsid w:val="62154DF7"/>
    <w:rsid w:val="6216083E"/>
    <w:rsid w:val="62647C14"/>
    <w:rsid w:val="626F7F7D"/>
    <w:rsid w:val="62A139F3"/>
    <w:rsid w:val="62A6516A"/>
    <w:rsid w:val="62AE41D6"/>
    <w:rsid w:val="62CF32E1"/>
    <w:rsid w:val="62D5076A"/>
    <w:rsid w:val="62DE49DD"/>
    <w:rsid w:val="62E515D1"/>
    <w:rsid w:val="62ED6AB2"/>
    <w:rsid w:val="62F67FC2"/>
    <w:rsid w:val="62F76189"/>
    <w:rsid w:val="630C516B"/>
    <w:rsid w:val="6336142F"/>
    <w:rsid w:val="634351B6"/>
    <w:rsid w:val="6387254A"/>
    <w:rsid w:val="63893057"/>
    <w:rsid w:val="638D4F38"/>
    <w:rsid w:val="63BB29E2"/>
    <w:rsid w:val="63EE7BC2"/>
    <w:rsid w:val="64116F3E"/>
    <w:rsid w:val="641D2495"/>
    <w:rsid w:val="643B1BC5"/>
    <w:rsid w:val="649B63D6"/>
    <w:rsid w:val="64A70088"/>
    <w:rsid w:val="64E05C3C"/>
    <w:rsid w:val="65031AFB"/>
    <w:rsid w:val="65164C0C"/>
    <w:rsid w:val="65293523"/>
    <w:rsid w:val="654A176D"/>
    <w:rsid w:val="656475AC"/>
    <w:rsid w:val="656D04E3"/>
    <w:rsid w:val="656E012E"/>
    <w:rsid w:val="65875B16"/>
    <w:rsid w:val="658E4991"/>
    <w:rsid w:val="65B449B7"/>
    <w:rsid w:val="65C308A8"/>
    <w:rsid w:val="65D163E1"/>
    <w:rsid w:val="66072ECE"/>
    <w:rsid w:val="660F474C"/>
    <w:rsid w:val="661A5498"/>
    <w:rsid w:val="66540846"/>
    <w:rsid w:val="668506CA"/>
    <w:rsid w:val="668A3617"/>
    <w:rsid w:val="668C5F71"/>
    <w:rsid w:val="668C6957"/>
    <w:rsid w:val="66981E41"/>
    <w:rsid w:val="66C73865"/>
    <w:rsid w:val="66E069BA"/>
    <w:rsid w:val="66EF7A62"/>
    <w:rsid w:val="66F31B42"/>
    <w:rsid w:val="674D3F5C"/>
    <w:rsid w:val="67A6286D"/>
    <w:rsid w:val="67B93CA4"/>
    <w:rsid w:val="67DA4B2A"/>
    <w:rsid w:val="6802710A"/>
    <w:rsid w:val="680A47AA"/>
    <w:rsid w:val="680C0846"/>
    <w:rsid w:val="68317660"/>
    <w:rsid w:val="68425993"/>
    <w:rsid w:val="68C10D9F"/>
    <w:rsid w:val="690872DE"/>
    <w:rsid w:val="69354EE3"/>
    <w:rsid w:val="695E1C38"/>
    <w:rsid w:val="69681D89"/>
    <w:rsid w:val="699604A0"/>
    <w:rsid w:val="69981BB6"/>
    <w:rsid w:val="699C7570"/>
    <w:rsid w:val="69A75110"/>
    <w:rsid w:val="69AF003E"/>
    <w:rsid w:val="69CD52B0"/>
    <w:rsid w:val="69DC2843"/>
    <w:rsid w:val="69F830AA"/>
    <w:rsid w:val="6A085CBE"/>
    <w:rsid w:val="6A153A67"/>
    <w:rsid w:val="6A3F352D"/>
    <w:rsid w:val="6A4C344E"/>
    <w:rsid w:val="6A4E7A1A"/>
    <w:rsid w:val="6A5F3D6D"/>
    <w:rsid w:val="6A855576"/>
    <w:rsid w:val="6AFE36E2"/>
    <w:rsid w:val="6B185C86"/>
    <w:rsid w:val="6B2D3621"/>
    <w:rsid w:val="6B575AA1"/>
    <w:rsid w:val="6B940198"/>
    <w:rsid w:val="6BD541E5"/>
    <w:rsid w:val="6BD61A29"/>
    <w:rsid w:val="6BD96D03"/>
    <w:rsid w:val="6BDC24CE"/>
    <w:rsid w:val="6C12377A"/>
    <w:rsid w:val="6C226508"/>
    <w:rsid w:val="6C2D1DCF"/>
    <w:rsid w:val="6C4930E9"/>
    <w:rsid w:val="6C62779B"/>
    <w:rsid w:val="6C9838C1"/>
    <w:rsid w:val="6D110D3B"/>
    <w:rsid w:val="6D8110C5"/>
    <w:rsid w:val="6DA0283D"/>
    <w:rsid w:val="6E166BAF"/>
    <w:rsid w:val="6E185853"/>
    <w:rsid w:val="6E344AD2"/>
    <w:rsid w:val="6E53210F"/>
    <w:rsid w:val="6E603223"/>
    <w:rsid w:val="6E716270"/>
    <w:rsid w:val="6E8639DF"/>
    <w:rsid w:val="6E962605"/>
    <w:rsid w:val="6ED11026"/>
    <w:rsid w:val="6EFA4931"/>
    <w:rsid w:val="6F032C16"/>
    <w:rsid w:val="6F0C63C1"/>
    <w:rsid w:val="6F1A4A00"/>
    <w:rsid w:val="6F265DA7"/>
    <w:rsid w:val="6F57340B"/>
    <w:rsid w:val="6F69715D"/>
    <w:rsid w:val="6F6D5164"/>
    <w:rsid w:val="6F7F0787"/>
    <w:rsid w:val="6F8A2CEF"/>
    <w:rsid w:val="6FA11C8D"/>
    <w:rsid w:val="6FBA768F"/>
    <w:rsid w:val="6FBE4BE4"/>
    <w:rsid w:val="6FD55A73"/>
    <w:rsid w:val="6FD741DB"/>
    <w:rsid w:val="6FE66028"/>
    <w:rsid w:val="6FF834F9"/>
    <w:rsid w:val="701D72C3"/>
    <w:rsid w:val="703C6BD1"/>
    <w:rsid w:val="705848F7"/>
    <w:rsid w:val="70695608"/>
    <w:rsid w:val="708158A8"/>
    <w:rsid w:val="708563E7"/>
    <w:rsid w:val="708A2EFA"/>
    <w:rsid w:val="70D7457B"/>
    <w:rsid w:val="70FE2B1B"/>
    <w:rsid w:val="710366DA"/>
    <w:rsid w:val="71102171"/>
    <w:rsid w:val="71251EAB"/>
    <w:rsid w:val="71280582"/>
    <w:rsid w:val="71443908"/>
    <w:rsid w:val="71767BA9"/>
    <w:rsid w:val="719240DC"/>
    <w:rsid w:val="71A617F5"/>
    <w:rsid w:val="71CF1689"/>
    <w:rsid w:val="71D45FDB"/>
    <w:rsid w:val="71DC1DC3"/>
    <w:rsid w:val="71EF13EC"/>
    <w:rsid w:val="720037E0"/>
    <w:rsid w:val="72307E9B"/>
    <w:rsid w:val="723776B9"/>
    <w:rsid w:val="723C6FE6"/>
    <w:rsid w:val="72675B00"/>
    <w:rsid w:val="7274672F"/>
    <w:rsid w:val="72BA5DEC"/>
    <w:rsid w:val="72BB1D45"/>
    <w:rsid w:val="72D71F6D"/>
    <w:rsid w:val="72DC485D"/>
    <w:rsid w:val="72F0419A"/>
    <w:rsid w:val="730C528C"/>
    <w:rsid w:val="73103064"/>
    <w:rsid w:val="731D0112"/>
    <w:rsid w:val="732B0918"/>
    <w:rsid w:val="73315A5F"/>
    <w:rsid w:val="734F32B4"/>
    <w:rsid w:val="736154DB"/>
    <w:rsid w:val="736A21A7"/>
    <w:rsid w:val="737C3F12"/>
    <w:rsid w:val="738F170E"/>
    <w:rsid w:val="73CA79AA"/>
    <w:rsid w:val="73DA2C89"/>
    <w:rsid w:val="741061B9"/>
    <w:rsid w:val="74550809"/>
    <w:rsid w:val="74555F51"/>
    <w:rsid w:val="74805CED"/>
    <w:rsid w:val="74980BD6"/>
    <w:rsid w:val="749A0D61"/>
    <w:rsid w:val="74C6370C"/>
    <w:rsid w:val="74D75CB7"/>
    <w:rsid w:val="74E101A1"/>
    <w:rsid w:val="74E36AFB"/>
    <w:rsid w:val="750B14D3"/>
    <w:rsid w:val="75241A48"/>
    <w:rsid w:val="753B6235"/>
    <w:rsid w:val="753C5E12"/>
    <w:rsid w:val="754C75A2"/>
    <w:rsid w:val="759253B8"/>
    <w:rsid w:val="759D13E0"/>
    <w:rsid w:val="75FE1688"/>
    <w:rsid w:val="76615ED4"/>
    <w:rsid w:val="768F1066"/>
    <w:rsid w:val="769B64F7"/>
    <w:rsid w:val="76A606E2"/>
    <w:rsid w:val="76C15146"/>
    <w:rsid w:val="76E3019D"/>
    <w:rsid w:val="76FF6F67"/>
    <w:rsid w:val="77060C27"/>
    <w:rsid w:val="7748156F"/>
    <w:rsid w:val="774A252E"/>
    <w:rsid w:val="77581AA8"/>
    <w:rsid w:val="77625E38"/>
    <w:rsid w:val="7793231D"/>
    <w:rsid w:val="77B576D1"/>
    <w:rsid w:val="77F50EA0"/>
    <w:rsid w:val="780F1937"/>
    <w:rsid w:val="7812493C"/>
    <w:rsid w:val="781E08EF"/>
    <w:rsid w:val="78326CDB"/>
    <w:rsid w:val="78DA259B"/>
    <w:rsid w:val="78DC3EBE"/>
    <w:rsid w:val="791D4884"/>
    <w:rsid w:val="79243E4D"/>
    <w:rsid w:val="79361073"/>
    <w:rsid w:val="79444F92"/>
    <w:rsid w:val="79637803"/>
    <w:rsid w:val="79754EDE"/>
    <w:rsid w:val="79962469"/>
    <w:rsid w:val="79A37786"/>
    <w:rsid w:val="79AA5728"/>
    <w:rsid w:val="79C0707A"/>
    <w:rsid w:val="79C40109"/>
    <w:rsid w:val="7A406248"/>
    <w:rsid w:val="7A895323"/>
    <w:rsid w:val="7AF2461F"/>
    <w:rsid w:val="7AF36489"/>
    <w:rsid w:val="7B0C637C"/>
    <w:rsid w:val="7B37514D"/>
    <w:rsid w:val="7B4D1E6F"/>
    <w:rsid w:val="7B7F35A7"/>
    <w:rsid w:val="7BBD725D"/>
    <w:rsid w:val="7C8700E6"/>
    <w:rsid w:val="7C9C3988"/>
    <w:rsid w:val="7CA35304"/>
    <w:rsid w:val="7CA722E8"/>
    <w:rsid w:val="7CAF2272"/>
    <w:rsid w:val="7CC85893"/>
    <w:rsid w:val="7CD62CB7"/>
    <w:rsid w:val="7CDC2114"/>
    <w:rsid w:val="7CE62CF7"/>
    <w:rsid w:val="7CEE274A"/>
    <w:rsid w:val="7D2379CC"/>
    <w:rsid w:val="7D3540BD"/>
    <w:rsid w:val="7D4E0B4C"/>
    <w:rsid w:val="7D752A04"/>
    <w:rsid w:val="7D9F5F86"/>
    <w:rsid w:val="7DA774CB"/>
    <w:rsid w:val="7DC6348F"/>
    <w:rsid w:val="7DEF3C6D"/>
    <w:rsid w:val="7E531D4D"/>
    <w:rsid w:val="7E5A432D"/>
    <w:rsid w:val="7E7D27AD"/>
    <w:rsid w:val="7EA34112"/>
    <w:rsid w:val="7EA97B31"/>
    <w:rsid w:val="7EBD4526"/>
    <w:rsid w:val="7ECA3B2F"/>
    <w:rsid w:val="7EE16A0A"/>
    <w:rsid w:val="7EF379BC"/>
    <w:rsid w:val="7F032706"/>
    <w:rsid w:val="7F19502E"/>
    <w:rsid w:val="7F1E3B76"/>
    <w:rsid w:val="7F7346E1"/>
    <w:rsid w:val="7F816D28"/>
    <w:rsid w:val="7F8D133C"/>
    <w:rsid w:val="7F9A7CFE"/>
    <w:rsid w:val="7FE64714"/>
    <w:rsid w:val="7FF10B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qFormat/>
    <w:uiPriority w:val="0"/>
    <w:pPr>
      <w:keepNext/>
      <w:keepLines/>
      <w:spacing w:before="340" w:after="330"/>
      <w:jc w:val="center"/>
      <w:outlineLvl w:val="0"/>
    </w:pPr>
    <w:rPr>
      <w:rFonts w:ascii="Times New Roman" w:hAnsi="Times New Roman"/>
      <w:b/>
      <w:color w:val="000000"/>
      <w:kern w:val="44"/>
      <w:sz w:val="44"/>
      <w:szCs w:val="20"/>
    </w:rPr>
  </w:style>
  <w:style w:type="paragraph" w:styleId="6">
    <w:name w:val="heading 2"/>
    <w:basedOn w:val="1"/>
    <w:next w:val="1"/>
    <w:link w:val="61"/>
    <w:qFormat/>
    <w:uiPriority w:val="0"/>
    <w:pPr>
      <w:keepNext/>
      <w:keepLines/>
      <w:spacing w:before="260" w:after="260"/>
      <w:jc w:val="left"/>
      <w:outlineLvl w:val="1"/>
    </w:pPr>
    <w:rPr>
      <w:rFonts w:ascii="Arial" w:hAnsi="Arial" w:eastAsia="黑体"/>
      <w:b/>
      <w:sz w:val="32"/>
      <w:szCs w:val="20"/>
    </w:rPr>
  </w:style>
  <w:style w:type="paragraph" w:styleId="7">
    <w:name w:val="heading 3"/>
    <w:basedOn w:val="1"/>
    <w:next w:val="1"/>
    <w:link w:val="48"/>
    <w:qFormat/>
    <w:uiPriority w:val="0"/>
    <w:pPr>
      <w:keepNext/>
      <w:keepLines/>
      <w:spacing w:before="260" w:after="260" w:line="412" w:lineRule="auto"/>
      <w:ind w:firstLine="49" w:firstLineChars="49"/>
      <w:outlineLvl w:val="2"/>
    </w:pPr>
    <w:rPr>
      <w:rFonts w:ascii="黑体" w:eastAsia="黑体"/>
      <w:sz w:val="28"/>
      <w:szCs w:val="20"/>
    </w:rPr>
  </w:style>
  <w:style w:type="character" w:default="1" w:styleId="31">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customStyle="1" w:styleId="2">
    <w:name w:val="BodyText1I2"/>
    <w:basedOn w:val="3"/>
    <w:uiPriority w:val="0"/>
    <w:pPr>
      <w:ind w:firstLine="420" w:firstLineChars="200"/>
    </w:pPr>
  </w:style>
  <w:style w:type="paragraph" w:customStyle="1" w:styleId="3">
    <w:name w:val="BodyTextIndent"/>
    <w:basedOn w:val="1"/>
    <w:next w:val="4"/>
    <w:uiPriority w:val="0"/>
    <w:pPr>
      <w:ind w:firstLine="645"/>
    </w:pPr>
    <w:rPr>
      <w:rFonts w:ascii="楷体_GB2312" w:hAnsi="Times New Roman" w:eastAsia="楷体_GB2312"/>
      <w:sz w:val="32"/>
      <w:szCs w:val="24"/>
    </w:rPr>
  </w:style>
  <w:style w:type="paragraph" w:customStyle="1" w:styleId="4">
    <w:name w:val="EnvelopeReturn"/>
    <w:basedOn w:val="1"/>
    <w:uiPriority w:val="0"/>
    <w:pPr>
      <w:snapToGrid w:val="0"/>
      <w:spacing w:line="360" w:lineRule="auto"/>
      <w:ind w:firstLine="480" w:firstLineChars="200"/>
      <w:textAlignment w:val="baseline"/>
    </w:pPr>
    <w:rPr>
      <w:rFonts w:ascii="Arial" w:hAnsi="Arial"/>
      <w:sz w:val="24"/>
    </w:rPr>
  </w:style>
  <w:style w:type="paragraph" w:styleId="8">
    <w:name w:val="toc 7"/>
    <w:basedOn w:val="1"/>
    <w:next w:val="1"/>
    <w:qFormat/>
    <w:uiPriority w:val="39"/>
    <w:pPr>
      <w:ind w:left="1260"/>
      <w:jc w:val="left"/>
    </w:pPr>
    <w:rPr>
      <w:rFonts w:asciiTheme="minorHAnsi" w:hAnsiTheme="minorHAnsi" w:cstheme="minorHAnsi"/>
      <w:sz w:val="18"/>
      <w:szCs w:val="18"/>
    </w:rPr>
  </w:style>
  <w:style w:type="paragraph" w:styleId="9">
    <w:name w:val="Normal Indent"/>
    <w:basedOn w:val="1"/>
    <w:qFormat/>
    <w:uiPriority w:val="0"/>
    <w:pPr>
      <w:ind w:firstLine="420"/>
    </w:pPr>
  </w:style>
  <w:style w:type="paragraph" w:styleId="10">
    <w:name w:val="Document Map"/>
    <w:basedOn w:val="1"/>
    <w:qFormat/>
    <w:uiPriority w:val="0"/>
    <w:rPr>
      <w:rFonts w:ascii="宋体" w:cs="宋体"/>
      <w:sz w:val="18"/>
      <w:szCs w:val="18"/>
    </w:rPr>
  </w:style>
  <w:style w:type="paragraph" w:styleId="11">
    <w:name w:val="annotation text"/>
    <w:basedOn w:val="1"/>
    <w:link w:val="43"/>
    <w:qFormat/>
    <w:uiPriority w:val="0"/>
    <w:pPr>
      <w:jc w:val="left"/>
    </w:pPr>
    <w:rPr>
      <w:rFonts w:ascii="Times New Roman" w:hAnsi="Times New Roman"/>
      <w:szCs w:val="20"/>
    </w:rPr>
  </w:style>
  <w:style w:type="paragraph" w:styleId="12">
    <w:name w:val="Body Text 3"/>
    <w:basedOn w:val="1"/>
    <w:link w:val="44"/>
    <w:qFormat/>
    <w:uiPriority w:val="0"/>
    <w:rPr>
      <w:rFonts w:ascii="宋体"/>
      <w:sz w:val="24"/>
      <w:szCs w:val="20"/>
    </w:rPr>
  </w:style>
  <w:style w:type="paragraph" w:styleId="13">
    <w:name w:val="Body Text"/>
    <w:basedOn w:val="1"/>
    <w:qFormat/>
    <w:uiPriority w:val="0"/>
    <w:pPr>
      <w:spacing w:line="360" w:lineRule="auto"/>
    </w:pPr>
    <w:rPr>
      <w:sz w:val="24"/>
    </w:rPr>
  </w:style>
  <w:style w:type="paragraph" w:styleId="14">
    <w:name w:val="toc 5"/>
    <w:basedOn w:val="1"/>
    <w:next w:val="1"/>
    <w:qFormat/>
    <w:uiPriority w:val="39"/>
    <w:pPr>
      <w:ind w:left="840"/>
      <w:jc w:val="left"/>
    </w:pPr>
    <w:rPr>
      <w:rFonts w:asciiTheme="minorHAnsi" w:hAnsiTheme="minorHAnsi" w:cstheme="minorHAnsi"/>
      <w:sz w:val="18"/>
      <w:szCs w:val="18"/>
    </w:rPr>
  </w:style>
  <w:style w:type="paragraph" w:styleId="15">
    <w:name w:val="toc 3"/>
    <w:basedOn w:val="1"/>
    <w:next w:val="1"/>
    <w:qFormat/>
    <w:uiPriority w:val="39"/>
    <w:pPr>
      <w:ind w:left="420"/>
      <w:jc w:val="left"/>
    </w:pPr>
    <w:rPr>
      <w:rFonts w:asciiTheme="minorHAnsi" w:hAnsiTheme="minorHAnsi" w:cstheme="minorHAnsi"/>
      <w:i/>
      <w:iCs/>
      <w:sz w:val="20"/>
      <w:szCs w:val="20"/>
    </w:rPr>
  </w:style>
  <w:style w:type="paragraph" w:styleId="16">
    <w:name w:val="Plain Text"/>
    <w:basedOn w:val="1"/>
    <w:qFormat/>
    <w:uiPriority w:val="0"/>
    <w:rPr>
      <w:rFonts w:ascii="宋体"/>
    </w:rPr>
  </w:style>
  <w:style w:type="paragraph" w:styleId="17">
    <w:name w:val="toc 8"/>
    <w:basedOn w:val="1"/>
    <w:next w:val="1"/>
    <w:qFormat/>
    <w:uiPriority w:val="39"/>
    <w:pPr>
      <w:ind w:left="1470"/>
      <w:jc w:val="left"/>
    </w:pPr>
    <w:rPr>
      <w:rFonts w:asciiTheme="minorHAnsi" w:hAnsiTheme="minorHAnsi" w:cstheme="minorHAnsi"/>
      <w:sz w:val="18"/>
      <w:szCs w:val="18"/>
    </w:rPr>
  </w:style>
  <w:style w:type="paragraph" w:styleId="18">
    <w:name w:val="Date"/>
    <w:basedOn w:val="1"/>
    <w:next w:val="1"/>
    <w:qFormat/>
    <w:uiPriority w:val="0"/>
    <w:pPr>
      <w:ind w:left="2500" w:leftChars="2500"/>
    </w:pPr>
    <w:rPr>
      <w:rFonts w:ascii="Times New Roman" w:hAnsi="Times New Roman"/>
      <w:szCs w:val="20"/>
    </w:rPr>
  </w:style>
  <w:style w:type="paragraph" w:styleId="19">
    <w:name w:val="Balloon Text"/>
    <w:basedOn w:val="1"/>
    <w:qFormat/>
    <w:uiPriority w:val="0"/>
    <w:rPr>
      <w:rFonts w:ascii="Times New Roman" w:hAnsi="Times New Roman"/>
      <w:sz w:val="18"/>
      <w:szCs w:val="20"/>
    </w:rPr>
  </w:style>
  <w:style w:type="paragraph" w:styleId="20">
    <w:name w:val="footer"/>
    <w:basedOn w:val="1"/>
    <w:qFormat/>
    <w:uiPriority w:val="0"/>
    <w:pPr>
      <w:tabs>
        <w:tab w:val="center" w:pos="4153"/>
        <w:tab w:val="right" w:pos="8306"/>
      </w:tabs>
      <w:snapToGrid w:val="0"/>
      <w:jc w:val="left"/>
    </w:pPr>
    <w:rPr>
      <w:sz w:val="18"/>
    </w:rPr>
  </w:style>
  <w:style w:type="paragraph" w:styleId="21">
    <w:name w:val="header"/>
    <w:basedOn w:val="1"/>
    <w:link w:val="54"/>
    <w:qFormat/>
    <w:uiPriority w:val="99"/>
    <w:pPr>
      <w:tabs>
        <w:tab w:val="center" w:pos="4153"/>
        <w:tab w:val="right" w:pos="8306"/>
      </w:tabs>
      <w:snapToGrid w:val="0"/>
    </w:pPr>
    <w:rPr>
      <w:rFonts w:ascii="Times New Roman" w:hAnsi="Times New Roman"/>
      <w:sz w:val="18"/>
      <w:szCs w:val="20"/>
    </w:rPr>
  </w:style>
  <w:style w:type="paragraph" w:styleId="22">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3">
    <w:name w:val="toc 4"/>
    <w:basedOn w:val="1"/>
    <w:next w:val="1"/>
    <w:qFormat/>
    <w:uiPriority w:val="39"/>
    <w:pPr>
      <w:ind w:left="630"/>
      <w:jc w:val="left"/>
    </w:pPr>
    <w:rPr>
      <w:rFonts w:asciiTheme="minorHAnsi" w:hAnsiTheme="minorHAnsi" w:cstheme="minorHAnsi"/>
      <w:sz w:val="18"/>
      <w:szCs w:val="18"/>
    </w:rPr>
  </w:style>
  <w:style w:type="paragraph" w:styleId="24">
    <w:name w:val="footnote text"/>
    <w:basedOn w:val="1"/>
    <w:link w:val="59"/>
    <w:unhideWhenUsed/>
    <w:qFormat/>
    <w:uiPriority w:val="0"/>
    <w:pPr>
      <w:snapToGrid w:val="0"/>
      <w:jc w:val="left"/>
    </w:pPr>
    <w:rPr>
      <w:sz w:val="18"/>
      <w:szCs w:val="18"/>
    </w:rPr>
  </w:style>
  <w:style w:type="paragraph" w:styleId="25">
    <w:name w:val="toc 6"/>
    <w:basedOn w:val="1"/>
    <w:next w:val="1"/>
    <w:qFormat/>
    <w:uiPriority w:val="39"/>
    <w:pPr>
      <w:ind w:left="1050"/>
      <w:jc w:val="left"/>
    </w:pPr>
    <w:rPr>
      <w:rFonts w:asciiTheme="minorHAnsi" w:hAnsiTheme="minorHAnsi" w:cstheme="minorHAnsi"/>
      <w:sz w:val="18"/>
      <w:szCs w:val="18"/>
    </w:rPr>
  </w:style>
  <w:style w:type="paragraph" w:styleId="26">
    <w:name w:val="Body Text Indent 3"/>
    <w:basedOn w:val="1"/>
    <w:qFormat/>
    <w:uiPriority w:val="0"/>
    <w:pPr>
      <w:spacing w:after="120"/>
      <w:ind w:left="200" w:leftChars="200"/>
    </w:pPr>
    <w:rPr>
      <w:sz w:val="16"/>
      <w:szCs w:val="16"/>
    </w:rPr>
  </w:style>
  <w:style w:type="paragraph" w:styleId="27">
    <w:name w:val="toc 2"/>
    <w:basedOn w:val="1"/>
    <w:next w:val="1"/>
    <w:qFormat/>
    <w:uiPriority w:val="39"/>
    <w:pPr>
      <w:ind w:left="210"/>
      <w:jc w:val="left"/>
    </w:pPr>
    <w:rPr>
      <w:rFonts w:asciiTheme="minorHAnsi" w:hAnsiTheme="minorHAnsi" w:cstheme="minorHAnsi"/>
      <w:smallCaps/>
      <w:sz w:val="20"/>
      <w:szCs w:val="20"/>
    </w:rPr>
  </w:style>
  <w:style w:type="paragraph" w:styleId="28">
    <w:name w:val="toc 9"/>
    <w:basedOn w:val="1"/>
    <w:next w:val="1"/>
    <w:qFormat/>
    <w:uiPriority w:val="39"/>
    <w:pPr>
      <w:ind w:left="1680"/>
      <w:jc w:val="left"/>
    </w:pPr>
    <w:rPr>
      <w:rFonts w:asciiTheme="minorHAnsi" w:hAnsiTheme="minorHAnsi" w:cstheme="minorHAnsi"/>
      <w:sz w:val="18"/>
      <w:szCs w:val="18"/>
    </w:rPr>
  </w:style>
  <w:style w:type="paragraph" w:styleId="29">
    <w:name w:val="annotation subject"/>
    <w:basedOn w:val="11"/>
    <w:next w:val="11"/>
    <w:qFormat/>
    <w:uiPriority w:val="0"/>
  </w:style>
  <w:style w:type="character" w:styleId="32">
    <w:name w:val="Strong"/>
    <w:qFormat/>
    <w:uiPriority w:val="0"/>
    <w:rPr>
      <w:b/>
      <w:bCs/>
    </w:rPr>
  </w:style>
  <w:style w:type="character" w:styleId="33">
    <w:name w:val="page number"/>
    <w:basedOn w:val="31"/>
    <w:qFormat/>
    <w:uiPriority w:val="0"/>
  </w:style>
  <w:style w:type="character" w:styleId="34">
    <w:name w:val="Hyperlink"/>
    <w:qFormat/>
    <w:uiPriority w:val="99"/>
    <w:rPr>
      <w:color w:val="0000FF"/>
      <w:u w:val="single"/>
    </w:rPr>
  </w:style>
  <w:style w:type="character" w:styleId="35">
    <w:name w:val="annotation reference"/>
    <w:qFormat/>
    <w:uiPriority w:val="0"/>
    <w:rPr>
      <w:sz w:val="21"/>
    </w:rPr>
  </w:style>
  <w:style w:type="character" w:styleId="36">
    <w:name w:val="footnote reference"/>
    <w:unhideWhenUsed/>
    <w:qFormat/>
    <w:uiPriority w:val="99"/>
    <w:rPr>
      <w:vertAlign w:val="superscript"/>
    </w:rPr>
  </w:style>
  <w:style w:type="character" w:customStyle="1" w:styleId="37">
    <w:name w:val="style_kwd"/>
    <w:basedOn w:val="31"/>
    <w:uiPriority w:val="0"/>
  </w:style>
  <w:style w:type="character" w:customStyle="1" w:styleId="38">
    <w:name w:val="批注文字 Char1"/>
    <w:qFormat/>
    <w:uiPriority w:val="0"/>
    <w:rPr>
      <w:rFonts w:ascii="Times New Roman" w:hAnsi="Times New Roman" w:eastAsia="宋体" w:cs="Times New Roman"/>
      <w:sz w:val="20"/>
      <w:szCs w:val="20"/>
      <w:lang w:bidi="ar-SA"/>
    </w:rPr>
  </w:style>
  <w:style w:type="character" w:customStyle="1" w:styleId="39">
    <w:name w:val="Comment Text Char"/>
    <w:uiPriority w:val="0"/>
  </w:style>
  <w:style w:type="paragraph" w:customStyle="1" w:styleId="40">
    <w:name w:val="修订1"/>
    <w:qFormat/>
    <w:uiPriority w:val="0"/>
    <w:rPr>
      <w:rFonts w:ascii="Times New Roman" w:hAnsi="Times New Roman" w:eastAsia="宋体" w:cs="Times New Roman"/>
      <w:kern w:val="2"/>
      <w:sz w:val="21"/>
      <w:lang w:val="en-US" w:eastAsia="zh-CN" w:bidi="ar-SA"/>
    </w:rPr>
  </w:style>
  <w:style w:type="paragraph" w:customStyle="1" w:styleId="41">
    <w:name w:val="_Style 23"/>
    <w:basedOn w:val="1"/>
    <w:uiPriority w:val="0"/>
    <w:pPr>
      <w:widowControl/>
      <w:spacing w:after="160" w:line="240" w:lineRule="exact"/>
      <w:jc w:val="left"/>
    </w:pPr>
  </w:style>
  <w:style w:type="paragraph" w:customStyle="1" w:styleId="42">
    <w:name w:val="TOC 标题1"/>
    <w:basedOn w:val="5"/>
    <w:next w:val="1"/>
    <w:qFormat/>
    <w:uiPriority w:val="39"/>
    <w:pPr>
      <w:widowControl/>
      <w:spacing w:before="480" w:after="0" w:line="276" w:lineRule="auto"/>
      <w:jc w:val="left"/>
      <w:outlineLvl w:val="9"/>
    </w:pPr>
    <w:rPr>
      <w:rFonts w:ascii="Cambria" w:hAnsi="Cambria"/>
      <w:color w:val="365F91"/>
      <w:kern w:val="0"/>
      <w:sz w:val="28"/>
    </w:rPr>
  </w:style>
  <w:style w:type="character" w:customStyle="1" w:styleId="43">
    <w:name w:val="批注文字 字符"/>
    <w:basedOn w:val="31"/>
    <w:link w:val="11"/>
    <w:qFormat/>
    <w:uiPriority w:val="0"/>
    <w:rPr>
      <w:rFonts w:eastAsia="宋体"/>
      <w:kern w:val="2"/>
      <w:sz w:val="21"/>
    </w:rPr>
  </w:style>
  <w:style w:type="character" w:customStyle="1" w:styleId="44">
    <w:name w:val="正文文本 3 字符"/>
    <w:basedOn w:val="31"/>
    <w:link w:val="12"/>
    <w:qFormat/>
    <w:uiPriority w:val="0"/>
    <w:rPr>
      <w:rFonts w:ascii="宋体" w:hAnsi="Calibri" w:eastAsia="宋体"/>
      <w:kern w:val="2"/>
      <w:sz w:val="24"/>
    </w:rPr>
  </w:style>
  <w:style w:type="character" w:customStyle="1" w:styleId="45">
    <w:name w:val="font161"/>
    <w:uiPriority w:val="0"/>
    <w:rPr>
      <w:b/>
      <w:bCs/>
      <w:sz w:val="32"/>
      <w:szCs w:val="32"/>
    </w:rPr>
  </w:style>
  <w:style w:type="paragraph" w:customStyle="1" w:styleId="46">
    <w:name w:val="样式 标题 2 + Times New Roman 四号 非加粗 段前: 5 磅 段后: 0 磅 行距: 固定值 20..."/>
    <w:basedOn w:val="6"/>
    <w:qFormat/>
    <w:uiPriority w:val="0"/>
    <w:pPr>
      <w:spacing w:before="100" w:after="0" w:line="400" w:lineRule="exact"/>
    </w:pPr>
    <w:rPr>
      <w:rFonts w:ascii="Times New Roman" w:hAnsi="Times New Roman" w:cs="宋体"/>
      <w:b w:val="0"/>
      <w:sz w:val="28"/>
    </w:rPr>
  </w:style>
  <w:style w:type="paragraph" w:customStyle="1" w:styleId="47">
    <w:name w:val="样式 标题 3 + (中文) 黑体 小四 非加粗 段前: 7.8 磅 段后: 0 磅 行距: 固定值 20 磅"/>
    <w:basedOn w:val="7"/>
    <w:qFormat/>
    <w:uiPriority w:val="0"/>
    <w:pPr>
      <w:spacing w:before="0" w:after="0" w:line="400" w:lineRule="exact"/>
      <w:ind w:firstLine="0" w:firstLineChars="0"/>
    </w:pPr>
    <w:rPr>
      <w:rFonts w:ascii="Times New Roman" w:hAnsi="Times New Roman" w:cs="宋体"/>
      <w:sz w:val="24"/>
    </w:rPr>
  </w:style>
  <w:style w:type="character" w:customStyle="1" w:styleId="48">
    <w:name w:val="标题 3 字符"/>
    <w:basedOn w:val="31"/>
    <w:link w:val="7"/>
    <w:qFormat/>
    <w:uiPriority w:val="0"/>
    <w:rPr>
      <w:rFonts w:ascii="黑体" w:hAnsi="Calibri" w:eastAsia="黑体"/>
      <w:kern w:val="2"/>
      <w:sz w:val="28"/>
    </w:rPr>
  </w:style>
  <w:style w:type="paragraph" w:customStyle="1" w:styleId="49">
    <w:name w:val="修订2"/>
    <w:hidden/>
    <w:semiHidden/>
    <w:qFormat/>
    <w:uiPriority w:val="99"/>
    <w:rPr>
      <w:rFonts w:ascii="Calibri" w:hAnsi="Calibri" w:eastAsia="宋体" w:cs="Times New Roman"/>
      <w:kern w:val="2"/>
      <w:sz w:val="21"/>
      <w:szCs w:val="22"/>
      <w:lang w:val="en-US" w:eastAsia="zh-CN" w:bidi="ar-SA"/>
    </w:rPr>
  </w:style>
  <w:style w:type="paragraph" w:styleId="50">
    <w:name w:val="List Paragraph"/>
    <w:basedOn w:val="1"/>
    <w:qFormat/>
    <w:uiPriority w:val="99"/>
    <w:pPr>
      <w:ind w:firstLine="420" w:firstLineChars="200"/>
    </w:pPr>
  </w:style>
  <w:style w:type="paragraph" w:customStyle="1" w:styleId="51">
    <w:name w:val="修订3"/>
    <w:hidden/>
    <w:semiHidden/>
    <w:qFormat/>
    <w:uiPriority w:val="99"/>
    <w:rPr>
      <w:rFonts w:ascii="Calibri" w:hAnsi="Calibri" w:eastAsia="宋体" w:cs="Times New Roman"/>
      <w:kern w:val="2"/>
      <w:sz w:val="21"/>
      <w:szCs w:val="22"/>
      <w:lang w:val="en-US" w:eastAsia="zh-CN" w:bidi="ar-SA"/>
    </w:rPr>
  </w:style>
  <w:style w:type="paragraph" w:customStyle="1" w:styleId="52">
    <w:name w:val="修订4"/>
    <w:hidden/>
    <w:semiHidden/>
    <w:qFormat/>
    <w:uiPriority w:val="99"/>
    <w:rPr>
      <w:rFonts w:ascii="Calibri" w:hAnsi="Calibri" w:eastAsia="宋体" w:cs="Times New Roman"/>
      <w:kern w:val="2"/>
      <w:sz w:val="21"/>
      <w:szCs w:val="22"/>
      <w:lang w:val="en-US" w:eastAsia="zh-CN" w:bidi="ar-SA"/>
    </w:rPr>
  </w:style>
  <w:style w:type="paragraph" w:customStyle="1" w:styleId="53">
    <w:name w:val="修订5"/>
    <w:hidden/>
    <w:unhideWhenUsed/>
    <w:qFormat/>
    <w:uiPriority w:val="99"/>
    <w:rPr>
      <w:rFonts w:ascii="Calibri" w:hAnsi="Calibri" w:eastAsia="宋体" w:cs="Times New Roman"/>
      <w:kern w:val="2"/>
      <w:sz w:val="21"/>
      <w:szCs w:val="22"/>
      <w:lang w:val="en-US" w:eastAsia="zh-CN" w:bidi="ar-SA"/>
    </w:rPr>
  </w:style>
  <w:style w:type="character" w:customStyle="1" w:styleId="54">
    <w:name w:val="页眉 字符"/>
    <w:basedOn w:val="31"/>
    <w:link w:val="21"/>
    <w:qFormat/>
    <w:uiPriority w:val="99"/>
    <w:rPr>
      <w:rFonts w:ascii="Times New Roman" w:hAnsi="Times New Roman" w:eastAsia="宋体" w:cs="Times New Roman"/>
      <w:kern w:val="2"/>
      <w:sz w:val="18"/>
    </w:rPr>
  </w:style>
  <w:style w:type="paragraph" w:customStyle="1" w:styleId="55">
    <w:name w:val="修订6"/>
    <w:hidden/>
    <w:unhideWhenUsed/>
    <w:qFormat/>
    <w:uiPriority w:val="99"/>
    <w:rPr>
      <w:rFonts w:ascii="Calibri" w:hAnsi="Calibri" w:eastAsia="宋体" w:cs="Times New Roman"/>
      <w:kern w:val="2"/>
      <w:sz w:val="21"/>
      <w:szCs w:val="22"/>
      <w:lang w:val="en-US" w:eastAsia="zh-CN" w:bidi="ar-SA"/>
    </w:rPr>
  </w:style>
  <w:style w:type="character" w:customStyle="1" w:styleId="56">
    <w:name w:val="正文2 Char"/>
    <w:link w:val="57"/>
    <w:qFormat/>
    <w:uiPriority w:val="0"/>
    <w:rPr>
      <w:rFonts w:ascii="宋体" w:eastAsia="楷体"/>
      <w:b/>
      <w:color w:val="0000FF"/>
      <w:kern w:val="2"/>
      <w:sz w:val="21"/>
      <w:szCs w:val="22"/>
    </w:rPr>
  </w:style>
  <w:style w:type="paragraph" w:customStyle="1" w:styleId="57">
    <w:name w:val="正文2"/>
    <w:link w:val="56"/>
    <w:qFormat/>
    <w:uiPriority w:val="0"/>
    <w:pPr>
      <w:widowControl w:val="0"/>
      <w:adjustRightInd w:val="0"/>
      <w:spacing w:line="312" w:lineRule="atLeast"/>
      <w:jc w:val="both"/>
      <w:textAlignment w:val="baseline"/>
    </w:pPr>
    <w:rPr>
      <w:rFonts w:ascii="宋体" w:hAnsi="Times New Roman" w:eastAsia="楷体" w:cs="Times New Roman"/>
      <w:b/>
      <w:color w:val="0000FF"/>
      <w:kern w:val="2"/>
      <w:sz w:val="21"/>
      <w:szCs w:val="22"/>
      <w:lang w:val="en-US" w:eastAsia="zh-CN" w:bidi="ar-SA"/>
    </w:rPr>
  </w:style>
  <w:style w:type="character" w:customStyle="1" w:styleId="58">
    <w:name w:val="脚注文本 Char"/>
    <w:basedOn w:val="31"/>
    <w:semiHidden/>
    <w:qFormat/>
    <w:uiPriority w:val="0"/>
    <w:rPr>
      <w:rFonts w:ascii="Calibri" w:hAnsi="Calibri"/>
      <w:kern w:val="2"/>
      <w:sz w:val="18"/>
      <w:szCs w:val="18"/>
    </w:rPr>
  </w:style>
  <w:style w:type="character" w:customStyle="1" w:styleId="59">
    <w:name w:val="脚注文本 字符"/>
    <w:link w:val="24"/>
    <w:semiHidden/>
    <w:qFormat/>
    <w:locked/>
    <w:uiPriority w:val="0"/>
    <w:rPr>
      <w:rFonts w:ascii="Calibri" w:hAnsi="Calibri"/>
      <w:kern w:val="2"/>
      <w:sz w:val="18"/>
      <w:szCs w:val="18"/>
    </w:rPr>
  </w:style>
  <w:style w:type="paragraph" w:customStyle="1" w:styleId="60">
    <w:name w:val="Revision"/>
    <w:hidden/>
    <w:unhideWhenUsed/>
    <w:uiPriority w:val="99"/>
    <w:rPr>
      <w:rFonts w:ascii="Calibri" w:hAnsi="Calibri" w:eastAsia="宋体" w:cs="Times New Roman"/>
      <w:kern w:val="2"/>
      <w:sz w:val="21"/>
      <w:szCs w:val="22"/>
      <w:lang w:val="en-US" w:eastAsia="zh-CN" w:bidi="ar-SA"/>
    </w:rPr>
  </w:style>
  <w:style w:type="character" w:customStyle="1" w:styleId="61">
    <w:name w:val="标题 2 字符"/>
    <w:basedOn w:val="31"/>
    <w:link w:val="6"/>
    <w:uiPriority w:val="0"/>
    <w:rPr>
      <w:rFonts w:ascii="Arial" w:hAnsi="Arial" w:eastAsia="黑体"/>
      <w:b/>
      <w:kern w:val="2"/>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826BB8-281F-4393-BC63-0BC2C1460EC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54</Pages>
  <Words>4449</Words>
  <Characters>25364</Characters>
  <Lines>211</Lines>
  <Paragraphs>59</Paragraphs>
  <TotalTime>528</TotalTime>
  <ScaleCrop>false</ScaleCrop>
  <LinksUpToDate>false</LinksUpToDate>
  <CharactersWithSpaces>29754</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2021-09-06T07:09:00Z</dcterms:created>
  <dc:creator>Lenovo</dc:creator>
  <cp:lastModifiedBy>ZHPC</cp:lastModifiedBy>
  <cp:lastPrinted>2024-10-29T08:12:00Z</cp:lastPrinted>
  <dcterms:modified xsi:type="dcterms:W3CDTF">2024-10-30T06:47:07Z</dcterms:modified>
  <dc:title>中华人民共和国</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1F122BBC99CB4B9FB22A0D7B8FBE8B8B</vt:lpwstr>
  </property>
</Properties>
</file>