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jc w:val="center"/>
        <w:rPr>
          <w:rStyle w:val="8"/>
          <w:rFonts w:cs="宋体"/>
        </w:rPr>
      </w:pPr>
      <w:bookmarkStart w:id="0" w:name="_Toc6562215"/>
      <w:r>
        <w:rPr>
          <w:rStyle w:val="8"/>
          <w:rFonts w:hint="eastAsia" w:cs="宋体"/>
        </w:rPr>
        <w:t>第三章  采购需求</w:t>
      </w:r>
      <w:bookmarkEnd w:id="0"/>
    </w:p>
    <w:p>
      <w:pPr>
        <w:pStyle w:val="2"/>
        <w:jc w:val="left"/>
        <w:rPr>
          <w:rStyle w:val="8"/>
          <w:rFonts w:ascii="宋体" w:cs="宋体"/>
          <w:sz w:val="30"/>
          <w:szCs w:val="30"/>
          <w:shd w:val="clear" w:color="auto" w:fill="FFFFFF"/>
        </w:rPr>
      </w:pPr>
      <w:bookmarkStart w:id="1" w:name="_Toc6562216"/>
      <w:r>
        <w:rPr>
          <w:rStyle w:val="8"/>
          <w:rFonts w:hint="eastAsia" w:ascii="宋体" w:cs="宋体"/>
          <w:sz w:val="30"/>
          <w:szCs w:val="30"/>
          <w:shd w:val="clear" w:color="auto" w:fill="FFFFFF"/>
        </w:rPr>
        <w:t>一、技术参数配置要求</w:t>
      </w:r>
      <w:bookmarkEnd w:id="1"/>
    </w:p>
    <w:tbl>
      <w:tblPr>
        <w:tblStyle w:val="4"/>
        <w:tblW w:w="9071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6"/>
        <w:gridCol w:w="1319"/>
        <w:gridCol w:w="3298"/>
        <w:gridCol w:w="1674"/>
        <w:gridCol w:w="971"/>
        <w:gridCol w:w="1133"/>
      </w:tblGrid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货物名称</w:t>
            </w:r>
          </w:p>
        </w:tc>
        <w:tc>
          <w:tcPr>
            <w:tcW w:w="49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参数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要求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商务车</w:t>
            </w:r>
          </w:p>
        </w:tc>
        <w:tc>
          <w:tcPr>
            <w:tcW w:w="49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sz w:val="21"/>
                <w:szCs w:val="21"/>
                <w:u w:val="none"/>
                <w:lang w:eastAsia="zh-CN"/>
              </w:rPr>
              <w:t>见下表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sz w:val="21"/>
                <w:szCs w:val="21"/>
                <w:u w:val="none"/>
                <w:lang w:eastAsia="zh-CN"/>
              </w:rPr>
              <w:t>辆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90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2019款1.5L手动  7座（国六）晴空银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0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■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基本参数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驱动方式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前置后驱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最高车速（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km/h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乘坐人数（人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)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5,7,8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排放标准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国六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0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■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主要尺寸及质量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长（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宽（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mm)*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高（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4420/1685/1770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轴距（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2720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前后轮距（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1420/1440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总质量（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kg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整备质量（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kg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1230-1299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额定载质量（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kg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油箱容积（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0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■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发动机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发动机型号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LAR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排量（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cc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1485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综合油耗（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L/100km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额定功率（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kw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最大扭矩（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N.m/rpm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140/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3400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～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4400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0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■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底盘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前悬架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麦弗逊式独立悬架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后悬架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螺旋弹簧五连杆式半独立悬架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制动系统方式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前盘后鼓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轮胎型号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185/70R14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0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■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前大灯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透镜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组合尾灯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车窗水切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前雾灯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门把手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同色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尾门拉手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同色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前隔栅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镀铬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铝合金轮辋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后扰流板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同色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行李架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0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■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织物座椅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皮革座椅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0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■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驾驶与安全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ABS+EBD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遥控钥匙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电动助力转向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EPS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倒车雷达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高位刹车灯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后雨刷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中门儿童锁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0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■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舒适与便利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前、中车门置物盒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前排中央扶手箱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前座椅后背置物袋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单蒸空调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双蒸空调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外后视镜电动调节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驾驶员侧车窗带一键式下降功能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前门电动玻璃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中门电动玻璃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中控门锁（前、中、尾门）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0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■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娱乐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收音机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+USB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接口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多媒体播放器（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英寸显示屏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倒车影像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蓝牙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+USB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接口）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安卓手机互联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52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车载</w:t>
            </w: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12V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电源接口</w:t>
            </w:r>
          </w:p>
        </w:tc>
        <w:tc>
          <w:tcPr>
            <w:tcW w:w="37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●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 w:ascii="宋体" w:hAnsi="宋体"/>
          <w:b/>
          <w:bCs/>
          <w:color w:val="auto"/>
          <w:spacing w:val="-4"/>
          <w:szCs w:val="21"/>
        </w:rPr>
      </w:pPr>
      <w:r>
        <w:rPr>
          <w:rFonts w:hint="eastAsia" w:ascii="宋体" w:hAnsi="宋体"/>
          <w:b/>
          <w:bCs/>
          <w:color w:val="auto"/>
          <w:spacing w:val="-4"/>
          <w:szCs w:val="21"/>
        </w:rPr>
        <w:t>1、所有设备的</w:t>
      </w:r>
      <w:r>
        <w:rPr>
          <w:rFonts w:hint="eastAsia" w:ascii="宋体" w:hAnsi="宋体" w:cs="宋体"/>
          <w:b/>
          <w:bCs/>
          <w:color w:val="auto"/>
          <w:kern w:val="0"/>
          <w:szCs w:val="21"/>
        </w:rPr>
        <w:t>性能参数及技术要求</w:t>
      </w:r>
      <w:r>
        <w:rPr>
          <w:rFonts w:hint="eastAsia" w:ascii="宋体" w:hAnsi="宋体"/>
          <w:b/>
          <w:bCs/>
          <w:color w:val="auto"/>
          <w:spacing w:val="-4"/>
          <w:szCs w:val="21"/>
        </w:rPr>
        <w:t>、数量不接受负偏离。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 w:ascii="宋体" w:hAnsi="宋体"/>
          <w:b/>
          <w:bCs/>
          <w:color w:val="auto"/>
          <w:spacing w:val="-4"/>
          <w:szCs w:val="21"/>
        </w:rPr>
      </w:pPr>
      <w:r>
        <w:rPr>
          <w:rFonts w:hint="eastAsia" w:ascii="宋体" w:hAnsi="宋体"/>
          <w:b/>
          <w:bCs/>
          <w:color w:val="auto"/>
          <w:spacing w:val="-4"/>
          <w:szCs w:val="21"/>
        </w:rPr>
        <w:t>2、招标文件采购需求中如出现产品参考推荐品牌或型号，是采购人根据项目所要实现的功能而提出的参考品牌或型号，并不是限制条件，投标人可以采用不低于推荐的产品档次参与竞争。但是所有技术和功能应相当于或高于规定的要求。（投标人须承诺所有报价产品的技术参数、功能完全响应采购需求，否则视为不诚信投标人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 w:ascii="宋体" w:hAnsi="宋体"/>
          <w:b/>
          <w:bCs/>
          <w:color w:val="auto"/>
          <w:spacing w:val="-4"/>
          <w:szCs w:val="21"/>
        </w:rPr>
      </w:pPr>
      <w:r>
        <w:rPr>
          <w:rFonts w:hint="eastAsia" w:ascii="宋体" w:hAnsi="宋体"/>
          <w:b/>
          <w:bCs/>
          <w:color w:val="auto"/>
          <w:spacing w:val="-4"/>
          <w:szCs w:val="21"/>
          <w:lang w:val="en-US" w:eastAsia="zh-CN"/>
        </w:rPr>
        <w:t>3、</w:t>
      </w:r>
      <w:r>
        <w:rPr>
          <w:rFonts w:hint="eastAsia" w:ascii="宋体" w:hAnsi="宋体"/>
          <w:b/>
          <w:bCs/>
          <w:color w:val="auto"/>
          <w:spacing w:val="-4"/>
          <w:szCs w:val="21"/>
        </w:rPr>
        <w:t>本次采购</w:t>
      </w:r>
      <w:r>
        <w:rPr>
          <w:rFonts w:hint="eastAsia" w:ascii="宋体" w:hAnsi="宋体"/>
          <w:b/>
          <w:bCs/>
          <w:color w:val="auto"/>
          <w:spacing w:val="-4"/>
          <w:szCs w:val="21"/>
          <w:lang w:eastAsia="zh-CN"/>
        </w:rPr>
        <w:t>包含购置税，</w:t>
      </w:r>
      <w:r>
        <w:rPr>
          <w:rFonts w:hint="eastAsia" w:ascii="宋体" w:hAnsi="宋体"/>
          <w:b/>
          <w:bCs/>
          <w:color w:val="auto"/>
          <w:spacing w:val="-4"/>
          <w:szCs w:val="21"/>
        </w:rPr>
        <w:t>投标报价应包含专家评审费900元（按实支付，多退少补）、代理费1500元</w:t>
      </w:r>
      <w:r>
        <w:rPr>
          <w:rFonts w:hint="eastAsia" w:ascii="宋体" w:hAnsi="宋体"/>
          <w:b/>
          <w:bCs/>
          <w:color w:val="auto"/>
          <w:spacing w:val="-4"/>
          <w:szCs w:val="21"/>
          <w:lang w:eastAsia="zh-CN"/>
        </w:rPr>
        <w:t>、车辆购置税、上牌费、</w:t>
      </w:r>
      <w:r>
        <w:rPr>
          <w:rFonts w:hint="eastAsia" w:ascii="宋体" w:hAnsi="宋体"/>
          <w:b/>
          <w:bCs/>
          <w:color w:val="auto"/>
          <w:spacing w:val="-4"/>
          <w:szCs w:val="21"/>
        </w:rPr>
        <w:t>运输、安装、调试、税金等费用。</w:t>
      </w:r>
    </w:p>
    <w:p>
      <w:pPr>
        <w:pStyle w:val="2"/>
        <w:jc w:val="left"/>
        <w:rPr>
          <w:rFonts w:hint="eastAsia" w:ascii="宋体" w:hAnsi="宋体" w:cs="宋体"/>
          <w:b w:val="0"/>
          <w:bCs w:val="0"/>
          <w:szCs w:val="21"/>
        </w:rPr>
      </w:pPr>
      <w:bookmarkStart w:id="3" w:name="_GoBack"/>
      <w:bookmarkEnd w:id="3"/>
      <w:r>
        <w:rPr>
          <w:rStyle w:val="8"/>
          <w:rFonts w:cs="宋体"/>
        </w:rPr>
        <w:br w:type="page"/>
      </w:r>
      <w:bookmarkStart w:id="2" w:name="_Toc6562217"/>
      <w:r>
        <w:rPr>
          <w:rFonts w:hint="eastAsia" w:ascii="宋体" w:hAnsi="宋体" w:cs="宋体"/>
          <w:bCs w:val="0"/>
          <w:szCs w:val="21"/>
        </w:rPr>
        <w:t>二、商务</w:t>
      </w:r>
      <w:r>
        <w:rPr>
          <w:rFonts w:hint="eastAsia"/>
        </w:rPr>
        <w:t>要求</w:t>
      </w:r>
      <w:bookmarkEnd w:id="2"/>
    </w:p>
    <w:p>
      <w:pPr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 xml:space="preserve">         </w:t>
      </w:r>
    </w:p>
    <w:tbl>
      <w:tblPr>
        <w:tblStyle w:val="4"/>
        <w:tblW w:w="870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1701"/>
        <w:gridCol w:w="62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0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序号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内容</w:t>
            </w:r>
          </w:p>
        </w:tc>
        <w:tc>
          <w:tcPr>
            <w:tcW w:w="6294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1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合同签订地点</w:t>
            </w:r>
          </w:p>
        </w:tc>
        <w:tc>
          <w:tcPr>
            <w:tcW w:w="6294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  <w:t>黄山市屯溪城市建设投资有限责任公司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2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供货完成时限</w:t>
            </w:r>
          </w:p>
        </w:tc>
        <w:tc>
          <w:tcPr>
            <w:tcW w:w="6294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 w:eastAsia="宋体" w:cs="宋体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  <w:t>中标</w:t>
            </w:r>
            <w:r>
              <w:rPr>
                <w:rFonts w:hint="eastAsia" w:ascii="宋体" w:hAnsi="宋体" w:cs="宋体"/>
                <w:b/>
                <w:bCs/>
                <w:szCs w:val="21"/>
              </w:rPr>
              <w:t>后</w:t>
            </w: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b/>
                <w:bCs/>
                <w:szCs w:val="21"/>
              </w:rPr>
              <w:t>日内供货完成</w:t>
            </w:r>
            <w:r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3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货物包装运输要求</w:t>
            </w:r>
          </w:p>
        </w:tc>
        <w:tc>
          <w:tcPr>
            <w:tcW w:w="6294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除合同另有规定外，成交人提供的全部货物均应按标准保护措施进行包装，涉及木质制品及木制包装材料的（含铺垫、支撑、加固设施设备等），禁止使用和调入松木及其制品。该包装应适应远距离运输、防潮、防震、防锈和防野蛮装卸，确保货物安全无损运抵现场。由于包装不善所引起的货物锈蚀、损坏和损失均由成交人承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4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货物质保期</w:t>
            </w:r>
          </w:p>
        </w:tc>
        <w:tc>
          <w:tcPr>
            <w:tcW w:w="6294" w:type="dxa"/>
            <w:noWrap w:val="0"/>
            <w:vAlign w:val="center"/>
          </w:tcPr>
          <w:p>
            <w:pPr>
              <w:spacing w:line="500" w:lineRule="exact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/>
                <w:b/>
                <w:bCs/>
                <w:szCs w:val="21"/>
              </w:rPr>
              <w:t>3年或6万公里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5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货物售后服务</w:t>
            </w:r>
          </w:p>
        </w:tc>
        <w:tc>
          <w:tcPr>
            <w:tcW w:w="6294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投标人应承诺有良好的售后服务能力，能在（行驶6 万公里或使用</w:t>
            </w: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b/>
                <w:bCs/>
                <w:szCs w:val="21"/>
              </w:rPr>
              <w:t>年内）满足采购方对车辆的维修和养护需要。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6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验收</w:t>
            </w:r>
          </w:p>
        </w:tc>
        <w:tc>
          <w:tcPr>
            <w:tcW w:w="6294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 w:eastAsia="宋体" w:cs="宋体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  <w:t>通过采购人组织的验收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7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付款</w:t>
            </w:r>
          </w:p>
        </w:tc>
        <w:tc>
          <w:tcPr>
            <w:tcW w:w="6294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付款人：</w:t>
            </w:r>
            <w:r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  <w:t>黄山市屯溪城市建设投资有限责任公司</w:t>
            </w:r>
          </w:p>
          <w:p>
            <w:pPr>
              <w:spacing w:line="500" w:lineRule="exact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付款方式：</w:t>
            </w:r>
            <w:r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  <w:t>货到验收合格完毕并协助业主办理上牌的相关手续，所有相关事宜结束后，一次性付清合同价款。</w:t>
            </w:r>
            <w:r>
              <w:rPr>
                <w:rFonts w:hint="eastAsia" w:ascii="宋体" w:hAnsi="宋体" w:cs="宋体"/>
                <w:b/>
                <w:bCs/>
                <w:szCs w:val="21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8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履约保证金</w:t>
            </w:r>
          </w:p>
        </w:tc>
        <w:tc>
          <w:tcPr>
            <w:tcW w:w="6294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 w:eastAsia="宋体" w:cs="宋体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>/</w:t>
            </w:r>
          </w:p>
        </w:tc>
      </w:tr>
    </w:tbl>
    <w:p/>
    <w:sectPr>
      <w:pgSz w:w="11906" w:h="16838"/>
      <w:pgMar w:top="1270" w:right="1800" w:bottom="127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DA7B5A"/>
    <w:rsid w:val="23DA7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Cs w:val="32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libri Light" w:hAnsi="Calibri Light" w:cs="Times New Roman"/>
      <w:b/>
      <w:bCs/>
      <w:sz w:val="32"/>
      <w:szCs w:val="32"/>
    </w:rPr>
  </w:style>
  <w:style w:type="paragraph" w:customStyle="1" w:styleId="6">
    <w:name w:val="H1"/>
    <w:basedOn w:val="3"/>
    <w:next w:val="7"/>
    <w:qFormat/>
    <w:uiPriority w:val="0"/>
    <w:pPr>
      <w:spacing w:line="560" w:lineRule="exact"/>
      <w:jc w:val="left"/>
    </w:pPr>
    <w:rPr>
      <w:rFonts w:ascii="宋体" w:hAnsi="宋体" w:cs="宋体"/>
      <w:bCs w:val="0"/>
      <w:color w:val="000000"/>
    </w:rPr>
  </w:style>
  <w:style w:type="paragraph" w:customStyle="1" w:styleId="7">
    <w:name w:val="GW-正文"/>
    <w:basedOn w:val="1"/>
    <w:qFormat/>
    <w:uiPriority w:val="0"/>
    <w:pPr>
      <w:spacing w:line="360" w:lineRule="auto"/>
      <w:ind w:firstLine="200" w:firstLineChars="200"/>
      <w:contextualSpacing/>
    </w:pPr>
    <w:rPr>
      <w:szCs w:val="24"/>
    </w:rPr>
  </w:style>
  <w:style w:type="character" w:customStyle="1" w:styleId="8">
    <w:name w:val="apple-converted-space"/>
    <w:qFormat/>
    <w:uiPriority w:val="99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2019-07-23T01:23:00Z</dcterms:created>
  <dc:creator>踮起脚尖伸手抚摸太阳1374195447</dc:creator>
  <cp:lastModifiedBy>踮起脚尖伸手抚摸太阳1374195447</cp:lastModifiedBy>
  <cp:lastPrinted>2019-07-23T01:24:18Z</cp:lastPrinted>
  <dcterms:modified xsi:type="dcterms:W3CDTF">2019-07-23T01:24:49Z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